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3"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278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56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3600" w:type="dxa"/>
            <w:vAlign w:val="bottom"/>
            <w:gridSpan w:val="4"/>
          </w:tcPr>
          <w:p>
            <w:pPr>
              <w:jc w:val="center"/>
              <w:ind w:right="2360"/>
              <w:spacing w:after="0"/>
              <w:rPr>
                <w:sz w:val="20"/>
                <w:szCs w:val="20"/>
                <w:color w:val="auto"/>
              </w:rPr>
            </w:pPr>
            <w:r>
              <w:rPr>
                <w:rFonts w:ascii="Times New Roman" w:cs="Times New Roman" w:eastAsia="Times New Roman" w:hAnsi="Times New Roman"/>
                <w:sz w:val="18"/>
                <w:szCs w:val="18"/>
                <w:b w:val="1"/>
                <w:bCs w:val="1"/>
                <w:color w:val="auto"/>
                <w:w w:val="99"/>
              </w:rPr>
              <w:t>FORM 8-K</w:t>
            </w:r>
          </w:p>
        </w:tc>
        <w:tc>
          <w:tcPr>
            <w:tcW w:w="2640" w:type="dxa"/>
            <w:vAlign w:val="bottom"/>
          </w:tcPr>
          <w:p>
            <w:pPr>
              <w:spacing w:after="0"/>
              <w:rPr>
                <w:sz w:val="20"/>
                <w:szCs w:val="20"/>
                <w:color w:val="auto"/>
              </w:rPr>
            </w:pPr>
          </w:p>
        </w:tc>
      </w:tr>
      <w:tr>
        <w:trPr>
          <w:trHeight w:val="432"/>
        </w:trPr>
        <w:tc>
          <w:tcPr>
            <w:tcW w:w="27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660" w:type="dxa"/>
            <w:vAlign w:val="bottom"/>
            <w:gridSpan w:val="5"/>
          </w:tcPr>
          <w:p>
            <w:pPr>
              <w:jc w:val="center"/>
              <w:ind w:right="1300"/>
              <w:spacing w:after="0"/>
              <w:rPr>
                <w:sz w:val="20"/>
                <w:szCs w:val="20"/>
                <w:color w:val="auto"/>
              </w:rPr>
            </w:pPr>
            <w:r>
              <w:rPr>
                <w:rFonts w:ascii="Times New Roman" w:cs="Times New Roman" w:eastAsia="Times New Roman" w:hAnsi="Times New Roman"/>
                <w:sz w:val="18"/>
                <w:szCs w:val="18"/>
                <w:b w:val="1"/>
                <w:bCs w:val="1"/>
                <w:color w:val="auto"/>
                <w:w w:val="99"/>
              </w:rPr>
              <w:t>CURRENT REPORT</w:t>
            </w:r>
          </w:p>
        </w:tc>
        <w:tc>
          <w:tcPr>
            <w:tcW w:w="2640" w:type="dxa"/>
            <w:vAlign w:val="bottom"/>
          </w:tcPr>
          <w:p>
            <w:pPr>
              <w:spacing w:after="0"/>
              <w:rPr>
                <w:sz w:val="24"/>
                <w:szCs w:val="24"/>
                <w:color w:val="auto"/>
              </w:rPr>
            </w:pPr>
          </w:p>
        </w:tc>
      </w:tr>
      <w:tr>
        <w:trPr>
          <w:trHeight w:val="432"/>
        </w:trPr>
        <w:tc>
          <w:tcPr>
            <w:tcW w:w="2780" w:type="dxa"/>
            <w:vAlign w:val="bottom"/>
          </w:tcPr>
          <w:p>
            <w:pPr>
              <w:spacing w:after="0"/>
              <w:rPr>
                <w:sz w:val="24"/>
                <w:szCs w:val="24"/>
                <w:color w:val="auto"/>
              </w:rPr>
            </w:pPr>
          </w:p>
        </w:tc>
        <w:tc>
          <w:tcPr>
            <w:tcW w:w="5820" w:type="dxa"/>
            <w:vAlign w:val="bottom"/>
            <w:gridSpan w:val="7"/>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 Securities Exchange Act of 1934</w:t>
            </w:r>
          </w:p>
        </w:tc>
        <w:tc>
          <w:tcPr>
            <w:tcW w:w="2640" w:type="dxa"/>
            <w:vAlign w:val="bottom"/>
          </w:tcPr>
          <w:p>
            <w:pPr>
              <w:spacing w:after="0"/>
              <w:rPr>
                <w:sz w:val="24"/>
                <w:szCs w:val="24"/>
                <w:color w:val="auto"/>
              </w:rPr>
            </w:pPr>
          </w:p>
        </w:tc>
      </w:tr>
      <w:tr>
        <w:trPr>
          <w:trHeight w:val="432"/>
        </w:trPr>
        <w:tc>
          <w:tcPr>
            <w:tcW w:w="2780" w:type="dxa"/>
            <w:vAlign w:val="bottom"/>
          </w:tcPr>
          <w:p>
            <w:pPr>
              <w:spacing w:after="0"/>
              <w:rPr>
                <w:sz w:val="24"/>
                <w:szCs w:val="24"/>
                <w:color w:val="auto"/>
              </w:rPr>
            </w:pPr>
          </w:p>
        </w:tc>
        <w:tc>
          <w:tcPr>
            <w:tcW w:w="5820" w:type="dxa"/>
            <w:vAlign w:val="bottom"/>
            <w:gridSpan w:val="7"/>
          </w:tcPr>
          <w:p>
            <w:pPr>
              <w:jc w:val="center"/>
              <w:ind w:right="140"/>
              <w:spacing w:after="0"/>
              <w:rPr>
                <w:sz w:val="20"/>
                <w:szCs w:val="20"/>
                <w:color w:val="auto"/>
              </w:rPr>
            </w:pPr>
            <w:r>
              <w:rPr>
                <w:rFonts w:ascii="Times New Roman" w:cs="Times New Roman" w:eastAsia="Times New Roman" w:hAnsi="Times New Roman"/>
                <w:sz w:val="18"/>
                <w:szCs w:val="18"/>
                <w:color w:val="auto"/>
                <w:w w:val="99"/>
              </w:rPr>
              <w:t xml:space="preserve">Date of Report (date of earliest event reported): </w:t>
            </w:r>
            <w:r>
              <w:rPr>
                <w:rFonts w:ascii="Times New Roman" w:cs="Times New Roman" w:eastAsia="Times New Roman" w:hAnsi="Times New Roman"/>
                <w:sz w:val="18"/>
                <w:szCs w:val="18"/>
                <w:b w:val="1"/>
                <w:bCs w:val="1"/>
                <w:color w:val="auto"/>
                <w:w w:val="99"/>
              </w:rPr>
              <w:t>October 31, 2022</w:t>
            </w:r>
          </w:p>
        </w:tc>
        <w:tc>
          <w:tcPr>
            <w:tcW w:w="2640" w:type="dxa"/>
            <w:vAlign w:val="bottom"/>
          </w:tcPr>
          <w:p>
            <w:pPr>
              <w:spacing w:after="0"/>
              <w:rPr>
                <w:sz w:val="24"/>
                <w:szCs w:val="24"/>
                <w:color w:val="auto"/>
              </w:rPr>
            </w:pPr>
          </w:p>
        </w:tc>
      </w:tr>
      <w:tr>
        <w:trPr>
          <w:trHeight w:val="391"/>
        </w:trPr>
        <w:tc>
          <w:tcPr>
            <w:tcW w:w="278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3600" w:type="dxa"/>
            <w:vAlign w:val="bottom"/>
            <w:gridSpan w:val="4"/>
          </w:tcPr>
          <w:p>
            <w:pPr>
              <w:jc w:val="center"/>
              <w:ind w:right="2360"/>
              <w:spacing w:after="0"/>
              <w:rPr>
                <w:sz w:val="20"/>
                <w:szCs w:val="20"/>
                <w:color w:val="auto"/>
              </w:rPr>
            </w:pPr>
            <w:r>
              <w:rPr>
                <w:rFonts w:ascii="Times New Roman" w:cs="Times New Roman" w:eastAsia="Times New Roman" w:hAnsi="Times New Roman"/>
                <w:sz w:val="18"/>
                <w:szCs w:val="18"/>
                <w:b w:val="1"/>
                <w:bCs w:val="1"/>
                <w:color w:val="auto"/>
                <w:w w:val="99"/>
              </w:rPr>
              <w:t>NOCERA, INC.</w:t>
            </w:r>
          </w:p>
        </w:tc>
        <w:tc>
          <w:tcPr>
            <w:tcW w:w="2640" w:type="dxa"/>
            <w:vAlign w:val="bottom"/>
          </w:tcPr>
          <w:p>
            <w:pPr>
              <w:spacing w:after="0"/>
              <w:rPr>
                <w:sz w:val="24"/>
                <w:szCs w:val="24"/>
                <w:color w:val="auto"/>
              </w:rPr>
            </w:pPr>
          </w:p>
        </w:tc>
      </w:tr>
      <w:tr>
        <w:trPr>
          <w:trHeight w:val="20"/>
        </w:trPr>
        <w:tc>
          <w:tcPr>
            <w:tcW w:w="278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1620" w:type="dxa"/>
            <w:vAlign w:val="bottom"/>
            <w:gridSpan w:val="2"/>
          </w:tcPr>
          <w:p>
            <w:pPr>
              <w:spacing w:after="0" w:line="20" w:lineRule="exact"/>
              <w:rPr>
                <w:sz w:val="1"/>
                <w:szCs w:val="1"/>
                <w:color w:val="auto"/>
              </w:rPr>
            </w:pPr>
          </w:p>
        </w:tc>
        <w:tc>
          <w:tcPr>
            <w:tcW w:w="1240" w:type="dxa"/>
            <w:vAlign w:val="bottom"/>
            <w:shd w:val="clear" w:color="auto" w:fill="000000"/>
          </w:tcPr>
          <w:p>
            <w:pPr>
              <w:spacing w:after="0" w:line="20" w:lineRule="exact"/>
              <w:rPr>
                <w:sz w:val="1"/>
                <w:szCs w:val="1"/>
                <w:color w:val="auto"/>
              </w:rPr>
            </w:pPr>
          </w:p>
        </w:tc>
        <w:tc>
          <w:tcPr>
            <w:tcW w:w="2360" w:type="dxa"/>
            <w:vAlign w:val="bottom"/>
            <w:gridSpan w:val="3"/>
          </w:tcPr>
          <w:p>
            <w:pPr>
              <w:spacing w:after="0" w:line="20" w:lineRule="exact"/>
              <w:rPr>
                <w:sz w:val="1"/>
                <w:szCs w:val="1"/>
                <w:color w:val="auto"/>
              </w:rPr>
            </w:pPr>
          </w:p>
        </w:tc>
        <w:tc>
          <w:tcPr>
            <w:tcW w:w="2640" w:type="dxa"/>
            <w:vAlign w:val="bottom"/>
          </w:tcPr>
          <w:p>
            <w:pPr>
              <w:spacing w:after="0" w:line="20" w:lineRule="exact"/>
              <w:rPr>
                <w:sz w:val="1"/>
                <w:szCs w:val="1"/>
                <w:color w:val="auto"/>
              </w:rPr>
            </w:pPr>
          </w:p>
        </w:tc>
      </w:tr>
      <w:tr>
        <w:trPr>
          <w:trHeight w:val="237"/>
        </w:trPr>
        <w:tc>
          <w:tcPr>
            <w:tcW w:w="278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5220" w:type="dxa"/>
            <w:vAlign w:val="bottom"/>
            <w:gridSpan w:val="6"/>
          </w:tcPr>
          <w:p>
            <w:pPr>
              <w:jc w:val="center"/>
              <w:ind w:right="720"/>
              <w:spacing w:after="0"/>
              <w:rPr>
                <w:sz w:val="20"/>
                <w:szCs w:val="20"/>
                <w:color w:val="auto"/>
              </w:rPr>
            </w:pPr>
            <w:r>
              <w:rPr>
                <w:rFonts w:ascii="Times New Roman" w:cs="Times New Roman" w:eastAsia="Times New Roman" w:hAnsi="Times New Roman"/>
                <w:sz w:val="18"/>
                <w:szCs w:val="18"/>
                <w:color w:val="auto"/>
                <w:w w:val="99"/>
              </w:rPr>
              <w:t>(Exact name of registrant as specified in charter)</w:t>
            </w:r>
          </w:p>
        </w:tc>
        <w:tc>
          <w:tcPr>
            <w:tcW w:w="2640" w:type="dxa"/>
            <w:vAlign w:val="bottom"/>
          </w:tcPr>
          <w:p>
            <w:pPr>
              <w:spacing w:after="0"/>
              <w:rPr>
                <w:sz w:val="20"/>
                <w:szCs w:val="20"/>
                <w:color w:val="auto"/>
              </w:rPr>
            </w:pPr>
          </w:p>
        </w:tc>
      </w:tr>
      <w:tr>
        <w:trPr>
          <w:trHeight w:val="439"/>
        </w:trPr>
        <w:tc>
          <w:tcPr>
            <w:tcW w:w="2780" w:type="dxa"/>
            <w:vAlign w:val="bottom"/>
          </w:tcPr>
          <w:p>
            <w:pPr>
              <w:jc w:val="center"/>
              <w:ind w:left="51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3460" w:type="dxa"/>
            <w:vAlign w:val="bottom"/>
            <w:gridSpan w:val="4"/>
          </w:tcPr>
          <w:p>
            <w:pPr>
              <w:jc w:val="center"/>
              <w:ind w:left="2150"/>
              <w:spacing w:after="0"/>
              <w:rPr>
                <w:sz w:val="20"/>
                <w:szCs w:val="20"/>
                <w:color w:val="auto"/>
              </w:rPr>
            </w:pPr>
            <w:r>
              <w:rPr>
                <w:rFonts w:ascii="Times New Roman" w:cs="Times New Roman" w:eastAsia="Times New Roman" w:hAnsi="Times New Roman"/>
                <w:sz w:val="18"/>
                <w:szCs w:val="18"/>
                <w:b w:val="1"/>
                <w:bCs w:val="1"/>
                <w:color w:val="auto"/>
                <w:w w:val="99"/>
              </w:rPr>
              <w:t>000-55993</w:t>
            </w:r>
          </w:p>
        </w:tc>
        <w:tc>
          <w:tcPr>
            <w:tcW w:w="10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2640" w:type="dxa"/>
            <w:vAlign w:val="bottom"/>
          </w:tcPr>
          <w:p>
            <w:pPr>
              <w:jc w:val="center"/>
              <w:ind w:right="650"/>
              <w:spacing w:after="0"/>
              <w:rPr>
                <w:sz w:val="20"/>
                <w:szCs w:val="20"/>
                <w:color w:val="auto"/>
              </w:rPr>
            </w:pPr>
            <w:r>
              <w:rPr>
                <w:rFonts w:ascii="Times New Roman" w:cs="Times New Roman" w:eastAsia="Times New Roman" w:hAnsi="Times New Roman"/>
                <w:sz w:val="18"/>
                <w:szCs w:val="18"/>
                <w:b w:val="1"/>
                <w:bCs w:val="1"/>
                <w:color w:val="auto"/>
                <w:w w:val="98"/>
              </w:rPr>
              <w:t>16-1626611</w:t>
            </w:r>
          </w:p>
        </w:tc>
      </w:tr>
      <w:tr>
        <w:trPr>
          <w:trHeight w:val="198"/>
        </w:trPr>
        <w:tc>
          <w:tcPr>
            <w:tcW w:w="2780" w:type="dxa"/>
            <w:vAlign w:val="bottom"/>
            <w:tcBorders>
              <w:top w:val="single" w:sz="8" w:color="auto"/>
            </w:tcBorders>
          </w:tcPr>
          <w:p>
            <w:pPr>
              <w:jc w:val="center"/>
              <w:ind w:left="510"/>
              <w:spacing w:after="0" w:line="198" w:lineRule="exact"/>
              <w:rPr>
                <w:sz w:val="20"/>
                <w:szCs w:val="20"/>
                <w:color w:val="auto"/>
              </w:rPr>
            </w:pPr>
            <w:r>
              <w:rPr>
                <w:rFonts w:ascii="Times New Roman" w:cs="Times New Roman" w:eastAsia="Times New Roman" w:hAnsi="Times New Roman"/>
                <w:sz w:val="18"/>
                <w:szCs w:val="18"/>
                <w:color w:val="auto"/>
              </w:rPr>
              <w:t>(State or other jurisdiction</w:t>
            </w:r>
          </w:p>
        </w:tc>
        <w:tc>
          <w:tcPr>
            <w:tcW w:w="600" w:type="dxa"/>
            <w:vAlign w:val="bottom"/>
            <w:tcBorders>
              <w:top w:val="single" w:sz="8" w:color="auto"/>
            </w:tcBorders>
          </w:tcPr>
          <w:p>
            <w:pPr>
              <w:spacing w:after="0"/>
              <w:rPr>
                <w:sz w:val="17"/>
                <w:szCs w:val="17"/>
                <w:color w:val="auto"/>
              </w:rPr>
            </w:pPr>
          </w:p>
        </w:tc>
        <w:tc>
          <w:tcPr>
            <w:tcW w:w="560" w:type="dxa"/>
            <w:vAlign w:val="bottom"/>
          </w:tcPr>
          <w:p>
            <w:pPr>
              <w:spacing w:after="0"/>
              <w:rPr>
                <w:sz w:val="17"/>
                <w:szCs w:val="17"/>
                <w:color w:val="auto"/>
              </w:rPr>
            </w:pPr>
          </w:p>
        </w:tc>
        <w:tc>
          <w:tcPr>
            <w:tcW w:w="1060" w:type="dxa"/>
            <w:vAlign w:val="bottom"/>
            <w:tcBorders>
              <w:top w:val="single" w:sz="8" w:color="auto"/>
            </w:tcBorders>
          </w:tcPr>
          <w:p>
            <w:pPr>
              <w:spacing w:after="0"/>
              <w:rPr>
                <w:sz w:val="17"/>
                <w:szCs w:val="17"/>
                <w:color w:val="auto"/>
              </w:rPr>
            </w:pPr>
          </w:p>
        </w:tc>
        <w:tc>
          <w:tcPr>
            <w:tcW w:w="2320" w:type="dxa"/>
            <w:vAlign w:val="bottom"/>
            <w:tcBorders>
              <w:top w:val="single" w:sz="8" w:color="auto"/>
            </w:tcBorders>
            <w:gridSpan w:val="2"/>
          </w:tcPr>
          <w:p>
            <w:pPr>
              <w:jc w:val="center"/>
              <w:ind w:right="1040"/>
              <w:spacing w:after="0" w:line="198" w:lineRule="exact"/>
              <w:rPr>
                <w:sz w:val="20"/>
                <w:szCs w:val="20"/>
                <w:color w:val="auto"/>
              </w:rPr>
            </w:pPr>
            <w:r>
              <w:rPr>
                <w:rFonts w:ascii="Times New Roman" w:cs="Times New Roman" w:eastAsia="Times New Roman" w:hAnsi="Times New Roman"/>
                <w:sz w:val="18"/>
                <w:szCs w:val="18"/>
                <w:color w:val="auto"/>
                <w:w w:val="98"/>
              </w:rPr>
              <w:t>(Commission</w:t>
            </w:r>
          </w:p>
        </w:tc>
        <w:tc>
          <w:tcPr>
            <w:tcW w:w="560" w:type="dxa"/>
            <w:vAlign w:val="bottom"/>
          </w:tcPr>
          <w:p>
            <w:pPr>
              <w:spacing w:after="0"/>
              <w:rPr>
                <w:sz w:val="17"/>
                <w:szCs w:val="17"/>
                <w:color w:val="auto"/>
              </w:rPr>
            </w:pPr>
          </w:p>
        </w:tc>
        <w:tc>
          <w:tcPr>
            <w:tcW w:w="720" w:type="dxa"/>
            <w:vAlign w:val="bottom"/>
            <w:tcBorders>
              <w:top w:val="single" w:sz="8" w:color="auto"/>
            </w:tcBorders>
          </w:tcPr>
          <w:p>
            <w:pPr>
              <w:spacing w:after="0"/>
              <w:rPr>
                <w:sz w:val="17"/>
                <w:szCs w:val="17"/>
                <w:color w:val="auto"/>
              </w:rPr>
            </w:pPr>
          </w:p>
        </w:tc>
        <w:tc>
          <w:tcPr>
            <w:tcW w:w="2640" w:type="dxa"/>
            <w:vAlign w:val="bottom"/>
            <w:tcBorders>
              <w:top w:val="single" w:sz="8" w:color="auto"/>
            </w:tcBorders>
          </w:tcPr>
          <w:p>
            <w:pPr>
              <w:jc w:val="center"/>
              <w:ind w:right="630"/>
              <w:spacing w:after="0" w:line="198" w:lineRule="exact"/>
              <w:rPr>
                <w:sz w:val="20"/>
                <w:szCs w:val="20"/>
                <w:color w:val="auto"/>
              </w:rPr>
            </w:pPr>
            <w:r>
              <w:rPr>
                <w:rFonts w:ascii="Times New Roman" w:cs="Times New Roman" w:eastAsia="Times New Roman" w:hAnsi="Times New Roman"/>
                <w:sz w:val="18"/>
                <w:szCs w:val="18"/>
                <w:color w:val="auto"/>
                <w:w w:val="98"/>
              </w:rPr>
              <w:t>(IRS Employer</w:t>
            </w:r>
          </w:p>
        </w:tc>
      </w:tr>
      <w:tr>
        <w:trPr>
          <w:trHeight w:val="234"/>
        </w:trPr>
        <w:tc>
          <w:tcPr>
            <w:tcW w:w="2780" w:type="dxa"/>
            <w:vAlign w:val="bottom"/>
          </w:tcPr>
          <w:p>
            <w:pPr>
              <w:jc w:val="center"/>
              <w:ind w:left="510"/>
              <w:spacing w:after="0"/>
              <w:rPr>
                <w:sz w:val="20"/>
                <w:szCs w:val="20"/>
                <w:color w:val="auto"/>
              </w:rPr>
            </w:pPr>
            <w:r>
              <w:rPr>
                <w:rFonts w:ascii="Times New Roman" w:cs="Times New Roman" w:eastAsia="Times New Roman" w:hAnsi="Times New Roman"/>
                <w:sz w:val="18"/>
                <w:szCs w:val="18"/>
                <w:color w:val="auto"/>
                <w:w w:val="99"/>
              </w:rPr>
              <w:t>of incorporation)</w:t>
            </w:r>
          </w:p>
        </w:tc>
        <w:tc>
          <w:tcPr>
            <w:tcW w:w="600" w:type="dxa"/>
            <w:vAlign w:val="bottom"/>
          </w:tcPr>
          <w:p>
            <w:pPr>
              <w:spacing w:after="0"/>
              <w:rPr>
                <w:sz w:val="20"/>
                <w:szCs w:val="20"/>
                <w:color w:val="auto"/>
              </w:rPr>
            </w:pPr>
          </w:p>
        </w:tc>
        <w:tc>
          <w:tcPr>
            <w:tcW w:w="56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3600" w:type="dxa"/>
            <w:vAlign w:val="bottom"/>
            <w:gridSpan w:val="4"/>
          </w:tcPr>
          <w:p>
            <w:pPr>
              <w:jc w:val="center"/>
              <w:ind w:right="2320"/>
              <w:spacing w:after="0"/>
              <w:rPr>
                <w:sz w:val="20"/>
                <w:szCs w:val="20"/>
                <w:color w:val="auto"/>
              </w:rPr>
            </w:pPr>
            <w:r>
              <w:rPr>
                <w:rFonts w:ascii="Times New Roman" w:cs="Times New Roman" w:eastAsia="Times New Roman" w:hAnsi="Times New Roman"/>
                <w:sz w:val="18"/>
                <w:szCs w:val="18"/>
                <w:color w:val="auto"/>
                <w:w w:val="98"/>
              </w:rPr>
              <w:t>File Number)</w:t>
            </w:r>
          </w:p>
        </w:tc>
        <w:tc>
          <w:tcPr>
            <w:tcW w:w="2640" w:type="dxa"/>
            <w:vAlign w:val="bottom"/>
          </w:tcPr>
          <w:p>
            <w:pPr>
              <w:jc w:val="center"/>
              <w:ind w:right="650"/>
              <w:spacing w:after="0"/>
              <w:rPr>
                <w:sz w:val="20"/>
                <w:szCs w:val="20"/>
                <w:color w:val="auto"/>
              </w:rPr>
            </w:pPr>
            <w:r>
              <w:rPr>
                <w:rFonts w:ascii="Times New Roman" w:cs="Times New Roman" w:eastAsia="Times New Roman" w:hAnsi="Times New Roman"/>
                <w:sz w:val="18"/>
                <w:szCs w:val="18"/>
                <w:color w:val="auto"/>
                <w:w w:val="99"/>
              </w:rPr>
              <w:t>Identification No.)</w:t>
            </w:r>
          </w:p>
        </w:tc>
      </w:tr>
    </w:tbl>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3F (Building B), No. 185, Sec. 1, Datong Rd., Xizhi Dist., New Taipei City Taiwan 221, ROC</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(Address of principal executive offices and zip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(886) 910-163-358</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(Registrant’s telephone number, including area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N/A</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207" w:lineRule="exact"/>
        <w:rPr>
          <w:sz w:val="24"/>
          <w:szCs w:val="24"/>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registrant under any of the following provisions:</w:t>
      </w:r>
    </w:p>
    <w:p>
      <w:pPr>
        <w:spacing w:after="0" w:line="162" w:lineRule="exact"/>
        <w:rPr>
          <w:sz w:val="24"/>
          <w:szCs w:val="24"/>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right="2980" w:firstLine="8"/>
        <w:spacing w:after="0" w:line="498" w:lineRule="auto"/>
        <w:tabs>
          <w:tab w:leader="none" w:pos="207"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 Securities registered pursuant to Section 12(b) of the Act: None</w:t>
      </w:r>
    </w:p>
    <w:p>
      <w:pPr>
        <w:spacing w:after="0" w:line="1"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37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Title of each class</w:t>
            </w:r>
          </w:p>
        </w:tc>
        <w:tc>
          <w:tcPr>
            <w:tcW w:w="3180" w:type="dxa"/>
            <w:vAlign w:val="bottom"/>
            <w:tcBorders>
              <w:bottom w:val="single" w:sz="8" w:color="auto"/>
            </w:tcBorders>
          </w:tcPr>
          <w:p>
            <w:pPr>
              <w:jc w:val="center"/>
              <w:ind w:left="410"/>
              <w:spacing w:after="0"/>
              <w:rPr>
                <w:sz w:val="20"/>
                <w:szCs w:val="20"/>
                <w:color w:val="auto"/>
              </w:rPr>
            </w:pPr>
            <w:r>
              <w:rPr>
                <w:rFonts w:ascii="Times New Roman" w:cs="Times New Roman" w:eastAsia="Times New Roman" w:hAnsi="Times New Roman"/>
                <w:sz w:val="18"/>
                <w:szCs w:val="18"/>
                <w:b w:val="1"/>
                <w:bCs w:val="1"/>
                <w:color w:val="auto"/>
                <w:w w:val="98"/>
              </w:rPr>
              <w:t>Trading Symbol</w:t>
            </w:r>
          </w:p>
        </w:tc>
        <w:tc>
          <w:tcPr>
            <w:tcW w:w="4280" w:type="dxa"/>
            <w:vAlign w:val="bottom"/>
            <w:tcBorders>
              <w:bottom w:val="single" w:sz="8" w:color="auto"/>
            </w:tcBorders>
          </w:tcPr>
          <w:p>
            <w:pPr>
              <w:jc w:val="center"/>
              <w:ind w:left="450"/>
              <w:spacing w:after="0"/>
              <w:rPr>
                <w:sz w:val="20"/>
                <w:szCs w:val="20"/>
                <w:color w:val="auto"/>
              </w:rPr>
            </w:pPr>
            <w:r>
              <w:rPr>
                <w:rFonts w:ascii="Times New Roman" w:cs="Times New Roman" w:eastAsia="Times New Roman" w:hAnsi="Times New Roman"/>
                <w:sz w:val="18"/>
                <w:szCs w:val="18"/>
                <w:b w:val="1"/>
                <w:bCs w:val="1"/>
                <w:color w:val="auto"/>
                <w:w w:val="99"/>
              </w:rPr>
              <w:t>Name of each exchange on which registered</w:t>
            </w:r>
          </w:p>
        </w:tc>
      </w:tr>
      <w:tr>
        <w:trPr>
          <w:trHeight w:val="228"/>
        </w:trPr>
        <w:tc>
          <w:tcPr>
            <w:tcW w:w="378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Common Stock</w:t>
            </w:r>
          </w:p>
        </w:tc>
        <w:tc>
          <w:tcPr>
            <w:tcW w:w="3180" w:type="dxa"/>
            <w:vAlign w:val="bottom"/>
          </w:tcPr>
          <w:p>
            <w:pPr>
              <w:jc w:val="center"/>
              <w:ind w:left="390"/>
              <w:spacing w:after="0"/>
              <w:rPr>
                <w:sz w:val="20"/>
                <w:szCs w:val="20"/>
                <w:color w:val="auto"/>
              </w:rPr>
            </w:pPr>
            <w:r>
              <w:rPr>
                <w:rFonts w:ascii="Times New Roman" w:cs="Times New Roman" w:eastAsia="Times New Roman" w:hAnsi="Times New Roman"/>
                <w:sz w:val="18"/>
                <w:szCs w:val="18"/>
                <w:color w:val="auto"/>
                <w:w w:val="99"/>
              </w:rPr>
              <w:t>NCRA</w:t>
            </w:r>
          </w:p>
        </w:tc>
        <w:tc>
          <w:tcPr>
            <w:tcW w:w="4280" w:type="dxa"/>
            <w:vAlign w:val="bottom"/>
          </w:tcPr>
          <w:p>
            <w:pPr>
              <w:jc w:val="center"/>
              <w:ind w:left="450"/>
              <w:spacing w:after="0"/>
              <w:rPr>
                <w:sz w:val="20"/>
                <w:szCs w:val="20"/>
                <w:color w:val="auto"/>
              </w:rPr>
            </w:pPr>
            <w:r>
              <w:rPr>
                <w:rFonts w:ascii="Times New Roman" w:cs="Times New Roman" w:eastAsia="Times New Roman" w:hAnsi="Times New Roman"/>
                <w:sz w:val="18"/>
                <w:szCs w:val="18"/>
                <w:color w:val="auto"/>
                <w:w w:val="99"/>
              </w:rPr>
              <w:t>The Nasdaq Capital Market LLC</w:t>
            </w:r>
          </w:p>
        </w:tc>
      </w:tr>
    </w:tbl>
    <w:p>
      <w:pPr>
        <w:spacing w:after="0" w:line="179" w:lineRule="exact"/>
        <w:rPr>
          <w:sz w:val="24"/>
          <w:szCs w:val="24"/>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33" w:lineRule="exact"/>
        <w:rPr>
          <w:sz w:val="24"/>
          <w:szCs w:val="24"/>
          <w:color w:val="auto"/>
        </w:rPr>
      </w:pPr>
    </w:p>
    <w:p>
      <w:pPr>
        <w:ind w:left="9060"/>
        <w:spacing w:after="0" w:line="196" w:lineRule="exact"/>
        <w:rPr>
          <w:sz w:val="20"/>
          <w:szCs w:val="20"/>
          <w:color w:val="auto"/>
        </w:rPr>
      </w:pPr>
      <w:r>
        <w:rPr>
          <w:rFonts w:ascii="Times New Roman" w:cs="Times New Roman" w:eastAsia="Times New Roman" w:hAnsi="Times New Roman"/>
          <w:sz w:val="17"/>
          <w:szCs w:val="17"/>
          <w:color w:val="auto"/>
        </w:rPr>
        <w:t xml:space="preserve">Emerging growth company </w:t>
      </w:r>
      <w:r>
        <w:rPr>
          <w:rFonts w:ascii="MS PGothic" w:cs="MS PGothic" w:eastAsia="MS PGothic" w:hAnsi="MS PGothic"/>
          <w:sz w:val="17"/>
          <w:szCs w:val="17"/>
          <w:color w:val="auto"/>
        </w:rPr>
        <w:t>☒</w:t>
      </w:r>
    </w:p>
    <w:p>
      <w:pPr>
        <w:spacing w:after="0" w:line="265" w:lineRule="exact"/>
        <w:rPr>
          <w:sz w:val="24"/>
          <w:szCs w:val="24"/>
          <w:color w:val="auto"/>
        </w:rPr>
      </w:pPr>
    </w:p>
    <w:p>
      <w:pPr>
        <w:jc w:val="both"/>
        <w:spacing w:after="0" w:line="235"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279400</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225" w:right="339" w:bottom="1440" w:gutter="0" w:footer="0" w:header="0"/>
        </w:sectPr>
      </w:pPr>
    </w:p>
    <w:bookmarkStart w:id="1" w:name="page2"/>
    <w:bookmarkEnd w:id="1"/>
    <w:p>
      <w:pPr>
        <w:spacing w:after="0"/>
        <w:rPr>
          <w:sz w:val="20"/>
          <w:szCs w:val="20"/>
          <w:color w:val="auto"/>
        </w:rPr>
      </w:pPr>
      <w:r>
        <w:rPr>
          <w:rFonts w:ascii="Times New Roman" w:cs="Times New Roman" w:eastAsia="Times New Roman" w:hAnsi="Times New Roman"/>
          <w:sz w:val="18"/>
          <w:szCs w:val="18"/>
          <w:b w:val="1"/>
          <w:bCs w:val="1"/>
          <w:color w:val="auto"/>
        </w:rPr>
        <w:t>Item 1.02 Termination of a Material Definitive Agreement.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September 30, 2022, Nocera, Inc., a Nevada corporation (the “Company”), filed a Current Report on Form 8-K with the Securities and Exchange Commission regarding the Company’s entry into a Variable Interest Entity Purchase Agreement (the “iTake Purchase Agreement”) with iTake Inc., a Taiwan corporation (“iTake”), on September 26, 2022, pursuant to which the Company was to purchase a 51% controlling interest in iTake.</w:t>
      </w:r>
    </w:p>
    <w:p>
      <w:pPr>
        <w:spacing w:after="0" w:line="176" w:lineRule="exact"/>
        <w:rPr>
          <w:sz w:val="20"/>
          <w:szCs w:val="20"/>
          <w:color w:val="auto"/>
        </w:rPr>
      </w:pPr>
    </w:p>
    <w:p>
      <w:pPr>
        <w:ind w:right="160"/>
        <w:spacing w:after="0" w:line="282" w:lineRule="auto"/>
        <w:rPr>
          <w:sz w:val="20"/>
          <w:szCs w:val="20"/>
          <w:color w:val="auto"/>
        </w:rPr>
      </w:pPr>
      <w:r>
        <w:rPr>
          <w:rFonts w:ascii="Times New Roman" w:cs="Times New Roman" w:eastAsia="Times New Roman" w:hAnsi="Times New Roman"/>
          <w:sz w:val="18"/>
          <w:szCs w:val="18"/>
          <w:color w:val="auto"/>
        </w:rPr>
        <w:t>On October 31, 2022, the iTake Purchase Agreement was terminated due to the inaccessibility of iTake’s accounting records necessary for the Company’s consolidation and audit purposes.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684" w:right="339" w:bottom="1440" w:gutter="0" w:footer="0" w:header="0"/>
        </w:sectPr>
      </w:pPr>
    </w:p>
    <w:bookmarkStart w:id="2" w:name="page3"/>
    <w:bookmarkEnd w:id="2"/>
    <w:p>
      <w:pPr>
        <w:jc w:val="center"/>
        <w:ind w:right="-319"/>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4"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700" w:type="dxa"/>
            <w:vAlign w:val="bottom"/>
          </w:tcPr>
          <w:p>
            <w:pPr>
              <w:spacing w:after="0"/>
              <w:rPr>
                <w:sz w:val="20"/>
                <w:szCs w:val="20"/>
                <w:color w:val="auto"/>
              </w:rPr>
            </w:pPr>
          </w:p>
        </w:tc>
        <w:tc>
          <w:tcPr>
            <w:tcW w:w="5100" w:type="dxa"/>
            <w:vAlign w:val="bottom"/>
            <w:gridSpan w:val="3"/>
          </w:tcPr>
          <w:p>
            <w:pPr>
              <w:ind w:left="1920"/>
              <w:spacing w:after="0"/>
              <w:rPr>
                <w:sz w:val="20"/>
                <w:szCs w:val="20"/>
                <w:color w:val="auto"/>
              </w:rPr>
            </w:pPr>
            <w:r>
              <w:rPr>
                <w:rFonts w:ascii="Times New Roman" w:cs="Times New Roman" w:eastAsia="Times New Roman" w:hAnsi="Times New Roman"/>
                <w:sz w:val="18"/>
                <w:szCs w:val="18"/>
                <w:b w:val="1"/>
                <w:bCs w:val="1"/>
                <w:color w:val="auto"/>
              </w:rPr>
              <w:t>NOCERA, INC.</w:t>
            </w:r>
          </w:p>
        </w:tc>
      </w:tr>
      <w:tr>
        <w:trPr>
          <w:trHeight w:val="391"/>
        </w:trPr>
        <w:tc>
          <w:tcPr>
            <w:tcW w:w="3700" w:type="dxa"/>
            <w:vAlign w:val="bottom"/>
          </w:tcPr>
          <w:p>
            <w:pPr>
              <w:spacing w:after="0"/>
              <w:rPr>
                <w:sz w:val="20"/>
                <w:szCs w:val="20"/>
                <w:color w:val="auto"/>
              </w:rPr>
            </w:pPr>
            <w:r>
              <w:rPr>
                <w:rFonts w:ascii="Times New Roman" w:cs="Times New Roman" w:eastAsia="Times New Roman" w:hAnsi="Times New Roman"/>
                <w:sz w:val="18"/>
                <w:szCs w:val="18"/>
                <w:color w:val="auto"/>
              </w:rPr>
              <w:t>Date: November 1, 2022</w:t>
            </w:r>
          </w:p>
        </w:tc>
        <w:tc>
          <w:tcPr>
            <w:tcW w:w="5100" w:type="dxa"/>
            <w:vAlign w:val="bottom"/>
            <w:gridSpan w:val="3"/>
          </w:tcPr>
          <w:p>
            <w:pPr>
              <w:ind w:left="1920"/>
              <w:spacing w:after="0"/>
              <w:rPr>
                <w:sz w:val="20"/>
                <w:szCs w:val="20"/>
                <w:color w:val="auto"/>
              </w:rPr>
            </w:pPr>
            <w:r>
              <w:rPr>
                <w:rFonts w:ascii="Times New Roman" w:cs="Times New Roman" w:eastAsia="Times New Roman" w:hAnsi="Times New Roman"/>
                <w:sz w:val="18"/>
                <w:szCs w:val="18"/>
                <w:color w:val="auto"/>
              </w:rPr>
              <w:t xml:space="preserve">By: </w:t>
            </w:r>
            <w:r>
              <w:rPr>
                <w:rFonts w:ascii="Times New Roman" w:cs="Times New Roman" w:eastAsia="Times New Roman" w:hAnsi="Times New Roman"/>
                <w:sz w:val="18"/>
                <w:szCs w:val="18"/>
                <w:i w:val="1"/>
                <w:iCs w:val="1"/>
                <w:color w:val="auto"/>
              </w:rPr>
              <w:t>/s/ Yin-Chieh Cheng</w:t>
            </w:r>
          </w:p>
        </w:tc>
      </w:tr>
      <w:tr>
        <w:trPr>
          <w:trHeight w:val="20"/>
        </w:trPr>
        <w:tc>
          <w:tcPr>
            <w:tcW w:w="3700" w:type="dxa"/>
            <w:vAlign w:val="bottom"/>
          </w:tcPr>
          <w:p>
            <w:pPr>
              <w:spacing w:after="0" w:line="20" w:lineRule="exact"/>
              <w:rPr>
                <w:sz w:val="1"/>
                <w:szCs w:val="1"/>
                <w:color w:val="auto"/>
              </w:rPr>
            </w:pPr>
          </w:p>
        </w:tc>
        <w:tc>
          <w:tcPr>
            <w:tcW w:w="2220" w:type="dxa"/>
            <w:vAlign w:val="bottom"/>
          </w:tcPr>
          <w:p>
            <w:pPr>
              <w:spacing w:after="0" w:line="20" w:lineRule="exact"/>
              <w:rPr>
                <w:sz w:val="1"/>
                <w:szCs w:val="1"/>
                <w:color w:val="auto"/>
              </w:rPr>
            </w:pPr>
          </w:p>
        </w:tc>
        <w:tc>
          <w:tcPr>
            <w:tcW w:w="1460" w:type="dxa"/>
            <w:vAlign w:val="bottom"/>
            <w:shd w:val="clear" w:color="auto" w:fill="000000"/>
          </w:tcPr>
          <w:p>
            <w:pPr>
              <w:spacing w:after="0" w:line="20" w:lineRule="exact"/>
              <w:rPr>
                <w:sz w:val="1"/>
                <w:szCs w:val="1"/>
                <w:color w:val="auto"/>
              </w:rPr>
            </w:pPr>
          </w:p>
        </w:tc>
        <w:tc>
          <w:tcPr>
            <w:tcW w:w="1420" w:type="dxa"/>
            <w:vAlign w:val="bottom"/>
          </w:tcPr>
          <w:p>
            <w:pPr>
              <w:spacing w:after="0" w:line="20" w:lineRule="exact"/>
              <w:rPr>
                <w:sz w:val="1"/>
                <w:szCs w:val="1"/>
                <w:color w:val="auto"/>
              </w:rPr>
            </w:pPr>
          </w:p>
        </w:tc>
      </w:tr>
      <w:tr>
        <w:trPr>
          <w:trHeight w:val="218"/>
        </w:trPr>
        <w:tc>
          <w:tcPr>
            <w:tcW w:w="3700" w:type="dxa"/>
            <w:vAlign w:val="bottom"/>
          </w:tcPr>
          <w:p>
            <w:pPr>
              <w:spacing w:after="0"/>
              <w:rPr>
                <w:sz w:val="18"/>
                <w:szCs w:val="18"/>
                <w:color w:val="auto"/>
              </w:rPr>
            </w:pPr>
          </w:p>
        </w:tc>
        <w:tc>
          <w:tcPr>
            <w:tcW w:w="5100" w:type="dxa"/>
            <w:vAlign w:val="bottom"/>
            <w:gridSpan w:val="3"/>
          </w:tcPr>
          <w:p>
            <w:pPr>
              <w:ind w:left="1920"/>
              <w:spacing w:after="0"/>
              <w:rPr>
                <w:sz w:val="20"/>
                <w:szCs w:val="20"/>
                <w:color w:val="auto"/>
              </w:rPr>
            </w:pPr>
            <w:r>
              <w:rPr>
                <w:rFonts w:ascii="Times New Roman" w:cs="Times New Roman" w:eastAsia="Times New Roman" w:hAnsi="Times New Roman"/>
                <w:sz w:val="18"/>
                <w:szCs w:val="18"/>
                <w:color w:val="auto"/>
              </w:rPr>
              <w:t>Name: Yin-Chieh Cheng</w:t>
            </w:r>
          </w:p>
        </w:tc>
      </w:tr>
      <w:tr>
        <w:trPr>
          <w:trHeight w:val="234"/>
        </w:trPr>
        <w:tc>
          <w:tcPr>
            <w:tcW w:w="3700" w:type="dxa"/>
            <w:vAlign w:val="bottom"/>
          </w:tcPr>
          <w:p>
            <w:pPr>
              <w:spacing w:after="0"/>
              <w:rPr>
                <w:sz w:val="20"/>
                <w:szCs w:val="20"/>
                <w:color w:val="auto"/>
              </w:rPr>
            </w:pPr>
          </w:p>
        </w:tc>
        <w:tc>
          <w:tcPr>
            <w:tcW w:w="5100" w:type="dxa"/>
            <w:vAlign w:val="bottom"/>
            <w:gridSpan w:val="3"/>
          </w:tcPr>
          <w:p>
            <w:pPr>
              <w:ind w:left="1920"/>
              <w:spacing w:after="0"/>
              <w:rPr>
                <w:sz w:val="20"/>
                <w:szCs w:val="20"/>
                <w:color w:val="auto"/>
              </w:rPr>
            </w:pPr>
            <w:r>
              <w:rPr>
                <w:rFonts w:ascii="Times New Roman" w:cs="Times New Roman" w:eastAsia="Times New Roman" w:hAnsi="Times New Roman"/>
                <w:sz w:val="18"/>
                <w:szCs w:val="18"/>
                <w:color w:val="auto"/>
                <w:w w:val="99"/>
              </w:rPr>
              <w:t>Title: President and Chief Executive Officer</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jc w:val="center"/>
        <w:ind w:right="-33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sectPr>
      <w:pgSz w:w="11900" w:h="16838" w:orient="portrait"/>
      <w:cols w:equalWidth="0" w:num="1">
        <w:col w:w="10920"/>
      </w:cols>
      <w:pgMar w:left="320" w:top="792" w:right="65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2022-11-01T08:28:40Z</dcterms:created>
  <dcterms:modified xsi:type="dcterms:W3CDTF">2022-11-01T08:28:40Z</dcterms:modified>
</cp:coreProperties>
</file>