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27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60"/>
              <w:spacing w:after="0"/>
              <w:rPr>
                <w:sz w:val="20"/>
                <w:szCs w:val="20"/>
                <w:color w:val="auto"/>
              </w:rPr>
            </w:pPr>
            <w:r>
              <w:rPr>
                <w:rFonts w:ascii="Times New Roman" w:cs="Times New Roman" w:eastAsia="Times New Roman" w:hAnsi="Times New Roman"/>
                <w:sz w:val="18"/>
                <w:szCs w:val="18"/>
                <w:b w:val="1"/>
                <w:bCs w:val="1"/>
                <w:color w:val="auto"/>
                <w:w w:val="99"/>
              </w:rPr>
              <w:t>FORM 8-K</w:t>
            </w:r>
          </w:p>
        </w:tc>
        <w:tc>
          <w:tcPr>
            <w:tcW w:w="2640" w:type="dxa"/>
            <w:vAlign w:val="bottom"/>
          </w:tcPr>
          <w:p>
            <w:pPr>
              <w:spacing w:after="0"/>
              <w:rPr>
                <w:sz w:val="20"/>
                <w:szCs w:val="20"/>
                <w:color w:val="auto"/>
              </w:rPr>
            </w:pPr>
          </w:p>
        </w:tc>
      </w:tr>
      <w:tr>
        <w:trPr>
          <w:trHeight w:val="432"/>
        </w:trPr>
        <w:tc>
          <w:tcPr>
            <w:tcW w:w="27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660" w:type="dxa"/>
            <w:vAlign w:val="bottom"/>
            <w:gridSpan w:val="5"/>
          </w:tcPr>
          <w:p>
            <w:pPr>
              <w:jc w:val="center"/>
              <w:ind w:right="1300"/>
              <w:spacing w:after="0"/>
              <w:rPr>
                <w:sz w:val="20"/>
                <w:szCs w:val="20"/>
                <w:color w:val="auto"/>
              </w:rPr>
            </w:pPr>
            <w:r>
              <w:rPr>
                <w:rFonts w:ascii="Times New Roman" w:cs="Times New Roman" w:eastAsia="Times New Roman" w:hAnsi="Times New Roman"/>
                <w:sz w:val="18"/>
                <w:szCs w:val="18"/>
                <w:b w:val="1"/>
                <w:bCs w:val="1"/>
                <w:color w:val="auto"/>
                <w:w w:val="99"/>
              </w:rPr>
              <w:t>CURRENT REPORT</w:t>
            </w:r>
          </w:p>
        </w:tc>
        <w:tc>
          <w:tcPr>
            <w:tcW w:w="2640" w:type="dxa"/>
            <w:vAlign w:val="bottom"/>
          </w:tcPr>
          <w:p>
            <w:pPr>
              <w:spacing w:after="0"/>
              <w:rPr>
                <w:sz w:val="24"/>
                <w:szCs w:val="24"/>
                <w:color w:val="auto"/>
              </w:rPr>
            </w:pPr>
          </w:p>
        </w:tc>
      </w:tr>
      <w:tr>
        <w:trPr>
          <w:trHeight w:val="432"/>
        </w:trPr>
        <w:tc>
          <w:tcPr>
            <w:tcW w:w="2780" w:type="dxa"/>
            <w:vAlign w:val="bottom"/>
          </w:tcPr>
          <w:p>
            <w:pPr>
              <w:spacing w:after="0"/>
              <w:rPr>
                <w:sz w:val="24"/>
                <w:szCs w:val="24"/>
                <w:color w:val="auto"/>
              </w:rPr>
            </w:pPr>
          </w:p>
        </w:tc>
        <w:tc>
          <w:tcPr>
            <w:tcW w:w="5820" w:type="dxa"/>
            <w:vAlign w:val="bottom"/>
            <w:gridSpan w:val="7"/>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tc>
        <w:tc>
          <w:tcPr>
            <w:tcW w:w="2640" w:type="dxa"/>
            <w:vAlign w:val="bottom"/>
          </w:tcPr>
          <w:p>
            <w:pPr>
              <w:spacing w:after="0"/>
              <w:rPr>
                <w:sz w:val="24"/>
                <w:szCs w:val="24"/>
                <w:color w:val="auto"/>
              </w:rPr>
            </w:pPr>
          </w:p>
        </w:tc>
      </w:tr>
      <w:tr>
        <w:trPr>
          <w:trHeight w:val="432"/>
        </w:trPr>
        <w:tc>
          <w:tcPr>
            <w:tcW w:w="2780" w:type="dxa"/>
            <w:vAlign w:val="bottom"/>
          </w:tcPr>
          <w:p>
            <w:pPr>
              <w:spacing w:after="0"/>
              <w:rPr>
                <w:sz w:val="24"/>
                <w:szCs w:val="24"/>
                <w:color w:val="auto"/>
              </w:rPr>
            </w:pPr>
          </w:p>
        </w:tc>
        <w:tc>
          <w:tcPr>
            <w:tcW w:w="5820" w:type="dxa"/>
            <w:vAlign w:val="bottom"/>
            <w:gridSpan w:val="7"/>
          </w:tcPr>
          <w:p>
            <w:pPr>
              <w:jc w:val="center"/>
              <w:ind w:right="140"/>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February 16, 2023</w:t>
            </w:r>
          </w:p>
        </w:tc>
        <w:tc>
          <w:tcPr>
            <w:tcW w:w="2640" w:type="dxa"/>
            <w:vAlign w:val="bottom"/>
          </w:tcPr>
          <w:p>
            <w:pPr>
              <w:spacing w:after="0"/>
              <w:rPr>
                <w:sz w:val="24"/>
                <w:szCs w:val="24"/>
                <w:color w:val="auto"/>
              </w:rPr>
            </w:pPr>
          </w:p>
        </w:tc>
      </w:tr>
      <w:tr>
        <w:trPr>
          <w:trHeight w:val="391"/>
        </w:trPr>
        <w:tc>
          <w:tcPr>
            <w:tcW w:w="27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0" w:type="dxa"/>
            <w:vAlign w:val="bottom"/>
            <w:gridSpan w:val="4"/>
          </w:tcPr>
          <w:p>
            <w:pPr>
              <w:jc w:val="center"/>
              <w:ind w:right="2360"/>
              <w:spacing w:after="0"/>
              <w:rPr>
                <w:sz w:val="20"/>
                <w:szCs w:val="20"/>
                <w:color w:val="auto"/>
              </w:rPr>
            </w:pPr>
            <w:r>
              <w:rPr>
                <w:rFonts w:ascii="Times New Roman" w:cs="Times New Roman" w:eastAsia="Times New Roman" w:hAnsi="Times New Roman"/>
                <w:sz w:val="18"/>
                <w:szCs w:val="18"/>
                <w:b w:val="1"/>
                <w:bCs w:val="1"/>
                <w:color w:val="auto"/>
                <w:w w:val="99"/>
              </w:rPr>
              <w:t>NOCERA, INC.</w:t>
            </w:r>
          </w:p>
        </w:tc>
        <w:tc>
          <w:tcPr>
            <w:tcW w:w="2640" w:type="dxa"/>
            <w:vAlign w:val="bottom"/>
          </w:tcPr>
          <w:p>
            <w:pPr>
              <w:spacing w:after="0"/>
              <w:rPr>
                <w:sz w:val="24"/>
                <w:szCs w:val="24"/>
                <w:color w:val="auto"/>
              </w:rPr>
            </w:pPr>
          </w:p>
        </w:tc>
      </w:tr>
      <w:tr>
        <w:trPr>
          <w:trHeight w:val="20"/>
        </w:trPr>
        <w:tc>
          <w:tcPr>
            <w:tcW w:w="27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360" w:type="dxa"/>
            <w:vAlign w:val="bottom"/>
            <w:gridSpan w:val="3"/>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r>
      <w:tr>
        <w:trPr>
          <w:trHeight w:val="237"/>
        </w:trPr>
        <w:tc>
          <w:tcPr>
            <w:tcW w:w="27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220" w:type="dxa"/>
            <w:vAlign w:val="bottom"/>
            <w:gridSpan w:val="6"/>
          </w:tcPr>
          <w:p>
            <w:pPr>
              <w:jc w:val="center"/>
              <w:ind w:right="720"/>
              <w:spacing w:after="0"/>
              <w:rPr>
                <w:sz w:val="20"/>
                <w:szCs w:val="20"/>
                <w:color w:val="auto"/>
              </w:rPr>
            </w:pPr>
            <w:r>
              <w:rPr>
                <w:rFonts w:ascii="Times New Roman" w:cs="Times New Roman" w:eastAsia="Times New Roman" w:hAnsi="Times New Roman"/>
                <w:sz w:val="18"/>
                <w:szCs w:val="18"/>
                <w:color w:val="auto"/>
                <w:w w:val="99"/>
              </w:rPr>
              <w:t>(Exact name of registrant as specified in charter)</w:t>
            </w:r>
          </w:p>
        </w:tc>
        <w:tc>
          <w:tcPr>
            <w:tcW w:w="2640" w:type="dxa"/>
            <w:vAlign w:val="bottom"/>
          </w:tcPr>
          <w:p>
            <w:pPr>
              <w:spacing w:after="0"/>
              <w:rPr>
                <w:sz w:val="20"/>
                <w:szCs w:val="20"/>
                <w:color w:val="auto"/>
              </w:rPr>
            </w:pPr>
          </w:p>
        </w:tc>
      </w:tr>
      <w:tr>
        <w:trPr>
          <w:trHeight w:val="439"/>
        </w:trPr>
        <w:tc>
          <w:tcPr>
            <w:tcW w:w="2780" w:type="dxa"/>
            <w:vAlign w:val="bottom"/>
          </w:tcPr>
          <w:p>
            <w:pPr>
              <w:jc w:val="center"/>
              <w:ind w:left="510"/>
              <w:spacing w:after="0"/>
              <w:rPr>
                <w:sz w:val="20"/>
                <w:szCs w:val="20"/>
                <w:color w:val="auto"/>
              </w:rPr>
            </w:pPr>
            <w:r>
              <w:rPr>
                <w:rFonts w:ascii="Times New Roman" w:cs="Times New Roman" w:eastAsia="Times New Roman" w:hAnsi="Times New Roman"/>
                <w:sz w:val="18"/>
                <w:szCs w:val="18"/>
                <w:b w:val="1"/>
                <w:bCs w:val="1"/>
                <w:color w:val="auto"/>
                <w:w w:val="99"/>
              </w:rPr>
              <w:t>Nevada</w:t>
            </w:r>
          </w:p>
        </w:tc>
        <w:tc>
          <w:tcPr>
            <w:tcW w:w="3460" w:type="dxa"/>
            <w:vAlign w:val="bottom"/>
            <w:gridSpan w:val="4"/>
          </w:tcPr>
          <w:p>
            <w:pPr>
              <w:jc w:val="center"/>
              <w:ind w:left="2150"/>
              <w:spacing w:after="0"/>
              <w:rPr>
                <w:sz w:val="20"/>
                <w:szCs w:val="20"/>
                <w:color w:val="auto"/>
              </w:rPr>
            </w:pPr>
            <w:r>
              <w:rPr>
                <w:rFonts w:ascii="Times New Roman" w:cs="Times New Roman" w:eastAsia="Times New Roman" w:hAnsi="Times New Roman"/>
                <w:sz w:val="18"/>
                <w:szCs w:val="18"/>
                <w:b w:val="1"/>
                <w:bCs w:val="1"/>
                <w:color w:val="auto"/>
                <w:w w:val="99"/>
              </w:rPr>
              <w:t>001-41434</w:t>
            </w: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40" w:type="dxa"/>
            <w:vAlign w:val="bottom"/>
          </w:tcPr>
          <w:p>
            <w:pPr>
              <w:jc w:val="center"/>
              <w:ind w:right="650"/>
              <w:spacing w:after="0"/>
              <w:rPr>
                <w:sz w:val="20"/>
                <w:szCs w:val="20"/>
                <w:color w:val="auto"/>
              </w:rPr>
            </w:pPr>
            <w:r>
              <w:rPr>
                <w:rFonts w:ascii="Times New Roman" w:cs="Times New Roman" w:eastAsia="Times New Roman" w:hAnsi="Times New Roman"/>
                <w:sz w:val="18"/>
                <w:szCs w:val="18"/>
                <w:b w:val="1"/>
                <w:bCs w:val="1"/>
                <w:color w:val="auto"/>
                <w:w w:val="98"/>
              </w:rPr>
              <w:t>16-1626611</w:t>
            </w:r>
          </w:p>
        </w:tc>
      </w:tr>
      <w:tr>
        <w:trPr>
          <w:trHeight w:val="198"/>
        </w:trPr>
        <w:tc>
          <w:tcPr>
            <w:tcW w:w="2780" w:type="dxa"/>
            <w:vAlign w:val="bottom"/>
            <w:tcBorders>
              <w:top w:val="single" w:sz="8" w:color="auto"/>
            </w:tcBorders>
          </w:tcPr>
          <w:p>
            <w:pPr>
              <w:jc w:val="center"/>
              <w:ind w:left="510"/>
              <w:spacing w:after="0" w:line="198" w:lineRule="exact"/>
              <w:rPr>
                <w:sz w:val="20"/>
                <w:szCs w:val="20"/>
                <w:color w:val="auto"/>
              </w:rPr>
            </w:pPr>
            <w:r>
              <w:rPr>
                <w:rFonts w:ascii="Times New Roman" w:cs="Times New Roman" w:eastAsia="Times New Roman" w:hAnsi="Times New Roman"/>
                <w:sz w:val="18"/>
                <w:szCs w:val="18"/>
                <w:color w:val="auto"/>
              </w:rPr>
              <w:t>(State or other jurisdiction</w:t>
            </w:r>
          </w:p>
        </w:tc>
        <w:tc>
          <w:tcPr>
            <w:tcW w:w="600" w:type="dxa"/>
            <w:vAlign w:val="bottom"/>
            <w:tcBorders>
              <w:top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2320" w:type="dxa"/>
            <w:vAlign w:val="bottom"/>
            <w:tcBorders>
              <w:top w:val="single" w:sz="8" w:color="auto"/>
            </w:tcBorders>
            <w:gridSpan w:val="2"/>
          </w:tcPr>
          <w:p>
            <w:pPr>
              <w:jc w:val="center"/>
              <w:ind w:right="1040"/>
              <w:spacing w:after="0" w:line="198" w:lineRule="exact"/>
              <w:rPr>
                <w:sz w:val="20"/>
                <w:szCs w:val="20"/>
                <w:color w:val="auto"/>
              </w:rPr>
            </w:pPr>
            <w:r>
              <w:rPr>
                <w:rFonts w:ascii="Times New Roman" w:cs="Times New Roman" w:eastAsia="Times New Roman" w:hAnsi="Times New Roman"/>
                <w:sz w:val="18"/>
                <w:szCs w:val="18"/>
                <w:color w:val="auto"/>
                <w:w w:val="98"/>
              </w:rPr>
              <w:t>(Commission</w:t>
            </w:r>
          </w:p>
        </w:tc>
        <w:tc>
          <w:tcPr>
            <w:tcW w:w="560" w:type="dxa"/>
            <w:vAlign w:val="bottom"/>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2640" w:type="dxa"/>
            <w:vAlign w:val="bottom"/>
            <w:tcBorders>
              <w:top w:val="single" w:sz="8" w:color="auto"/>
            </w:tcBorders>
          </w:tcPr>
          <w:p>
            <w:pPr>
              <w:jc w:val="center"/>
              <w:ind w:right="630"/>
              <w:spacing w:after="0" w:line="198" w:lineRule="exact"/>
              <w:rPr>
                <w:sz w:val="20"/>
                <w:szCs w:val="20"/>
                <w:color w:val="auto"/>
              </w:rPr>
            </w:pPr>
            <w:r>
              <w:rPr>
                <w:rFonts w:ascii="Times New Roman" w:cs="Times New Roman" w:eastAsia="Times New Roman" w:hAnsi="Times New Roman"/>
                <w:sz w:val="18"/>
                <w:szCs w:val="18"/>
                <w:color w:val="auto"/>
                <w:w w:val="98"/>
              </w:rPr>
              <w:t>(IRS Employer</w:t>
            </w:r>
          </w:p>
        </w:tc>
      </w:tr>
      <w:tr>
        <w:trPr>
          <w:trHeight w:val="234"/>
        </w:trPr>
        <w:tc>
          <w:tcPr>
            <w:tcW w:w="2780" w:type="dxa"/>
            <w:vAlign w:val="bottom"/>
          </w:tcPr>
          <w:p>
            <w:pPr>
              <w:jc w:val="center"/>
              <w:ind w:left="51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20"/>
              <w:spacing w:after="0"/>
              <w:rPr>
                <w:sz w:val="20"/>
                <w:szCs w:val="20"/>
                <w:color w:val="auto"/>
              </w:rPr>
            </w:pPr>
            <w:r>
              <w:rPr>
                <w:rFonts w:ascii="Times New Roman" w:cs="Times New Roman" w:eastAsia="Times New Roman" w:hAnsi="Times New Roman"/>
                <w:sz w:val="18"/>
                <w:szCs w:val="18"/>
                <w:color w:val="auto"/>
                <w:w w:val="98"/>
              </w:rPr>
              <w:t>File Number)</w:t>
            </w:r>
          </w:p>
        </w:tc>
        <w:tc>
          <w:tcPr>
            <w:tcW w:w="2640" w:type="dxa"/>
            <w:vAlign w:val="bottom"/>
          </w:tcPr>
          <w:p>
            <w:pPr>
              <w:jc w:val="center"/>
              <w:ind w:right="650"/>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3F (Building B), No. 185, Sec. 1, Datong Rd., Xizhi Dist., New Taipei City Taiwan 221, ROC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 and zip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(886) 910-163-358</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registrant under any of the following provisions:</w:t>
      </w:r>
    </w:p>
    <w:p>
      <w:pPr>
        <w:spacing w:after="0" w:line="1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220" w:type="dxa"/>
            <w:vAlign w:val="bottom"/>
            <w:tcBorders>
              <w:bottom w:val="single" w:sz="8" w:color="auto"/>
            </w:tcBorders>
          </w:tcPr>
          <w:p>
            <w:pPr>
              <w:jc w:val="center"/>
              <w:ind w:right="37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7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80" w:type="dxa"/>
            <w:vAlign w:val="bottom"/>
            <w:tcBorders>
              <w:bottom w:val="single" w:sz="8" w:color="auto"/>
            </w:tcBorders>
          </w:tcPr>
          <w:p>
            <w:pPr>
              <w:jc w:val="center"/>
              <w:ind w:left="450"/>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20" w:type="dxa"/>
            <w:vAlign w:val="bottom"/>
          </w:tcPr>
          <w:p>
            <w:pPr>
              <w:jc w:val="center"/>
              <w:ind w:right="370"/>
              <w:spacing w:after="0"/>
              <w:rPr>
                <w:sz w:val="20"/>
                <w:szCs w:val="20"/>
                <w:color w:val="auto"/>
              </w:rPr>
            </w:pPr>
            <w:r>
              <w:rPr>
                <w:rFonts w:ascii="Times New Roman" w:cs="Times New Roman" w:eastAsia="Times New Roman" w:hAnsi="Times New Roman"/>
                <w:sz w:val="18"/>
                <w:szCs w:val="18"/>
                <w:color w:val="auto"/>
                <w:w w:val="99"/>
              </w:rPr>
              <w:t>Common Stock, par value $0.001 per share</w:t>
            </w:r>
          </w:p>
        </w:tc>
        <w:tc>
          <w:tcPr>
            <w:tcW w:w="274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NCRA</w:t>
            </w:r>
          </w:p>
        </w:tc>
        <w:tc>
          <w:tcPr>
            <w:tcW w:w="4280" w:type="dxa"/>
            <w:vAlign w:val="bottom"/>
          </w:tcPr>
          <w:p>
            <w:pPr>
              <w:jc w:val="center"/>
              <w:ind w:left="450"/>
              <w:spacing w:after="0"/>
              <w:rPr>
                <w:sz w:val="20"/>
                <w:szCs w:val="20"/>
                <w:color w:val="auto"/>
              </w:rPr>
            </w:pPr>
            <w:r>
              <w:rPr>
                <w:rFonts w:ascii="Times New Roman" w:cs="Times New Roman" w:eastAsia="Times New Roman" w:hAnsi="Times New Roman"/>
                <w:sz w:val="18"/>
                <w:szCs w:val="18"/>
                <w:color w:val="auto"/>
                <w:w w:val="99"/>
              </w:rPr>
              <w:t>The Nasdaq Capital Market LLC</w:t>
            </w:r>
          </w:p>
        </w:tc>
      </w:tr>
    </w:tbl>
    <w:p>
      <w:pPr>
        <w:spacing w:after="0" w:line="179" w:lineRule="exact"/>
        <w:rPr>
          <w:sz w:val="24"/>
          <w:szCs w:val="24"/>
          <w:color w:val="auto"/>
        </w:rPr>
      </w:pPr>
    </w:p>
    <w:p>
      <w:pPr>
        <w:jc w:val="both"/>
        <w:ind w:right="20"/>
        <w:spacing w:after="0" w:line="282"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33" w:lineRule="exact"/>
        <w:rPr>
          <w:sz w:val="24"/>
          <w:szCs w:val="24"/>
          <w:color w:val="auto"/>
        </w:rPr>
      </w:pPr>
    </w:p>
    <w:p>
      <w:pPr>
        <w:ind w:left="9060"/>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65" w:lineRule="exact"/>
        <w:rPr>
          <w:sz w:val="24"/>
          <w:szCs w:val="24"/>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605155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 w:name="page2"/>
    <w:bookmarkEnd w:id="1"/>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2.01</w:t>
      </w:r>
      <w:r>
        <w:rPr>
          <w:sz w:val="20"/>
          <w:szCs w:val="20"/>
          <w:color w:val="auto"/>
        </w:rPr>
        <w:tab/>
      </w:r>
      <w:r>
        <w:rPr>
          <w:rFonts w:ascii="Times New Roman" w:cs="Times New Roman" w:eastAsia="Times New Roman" w:hAnsi="Times New Roman"/>
          <w:sz w:val="17"/>
          <w:szCs w:val="17"/>
          <w:b w:val="1"/>
          <w:bCs w:val="1"/>
          <w:color w:val="auto"/>
        </w:rPr>
        <w:t>Completion of Acquisition or Disposition of Assets.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previously disclosed, Nocera, Inc. (the “Company”) entered into the Real Estate Purchase Agreement dated as of September 8, 2022 (the “Purchase Agreement”), with an unaffiliated third party (the “Seller”) pursuant to which the Company agreed to purchase 229 contiguous acres of land located in Montgomery County, Alabama (the “Land Acquisition”).</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February 16, 2023, the Land Acquisition closed. As consideration for the Land Acquisition, the Company paid a total of $875,000 to the Seller, which was funded through available cash in the amount of $225,000 and loan proceeds in the amount of $650,000 from an unaffiliated Taiwan financial company, of which bears interest at a rate of 6% per annum payable every month for a term of two years (the “Loan”). The Company, through Nocera Taiwan Branch, an unincorporated division of the Company, pledged a certificate of deposit in the amount of $500,000 as security for the Loan.</w:t>
      </w:r>
    </w:p>
    <w:p>
      <w:pPr>
        <w:spacing w:after="0" w:line="180"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description of the Purchase Agreement contained in this Item 2.01 does not purport to be complete and is qualified in all respects with reference to the full text of the Purchase Agreement, which was filed as Exhibit 10.1 to the Current Report on Form 8-K filed with the Securities and Exchange Commission on September 13, 2022, and is incorporated herein by reference as Exhibit 10.1.</w:t>
      </w:r>
    </w:p>
    <w:p>
      <w:pPr>
        <w:spacing w:after="0" w:line="172"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2.03</w:t>
      </w:r>
      <w:r>
        <w:rPr>
          <w:sz w:val="20"/>
          <w:szCs w:val="20"/>
          <w:color w:val="auto"/>
        </w:rPr>
        <w:tab/>
      </w:r>
      <w:r>
        <w:rPr>
          <w:rFonts w:ascii="Times New Roman" w:cs="Times New Roman" w:eastAsia="Times New Roman" w:hAnsi="Times New Roman"/>
          <w:sz w:val="17"/>
          <w:szCs w:val="17"/>
          <w:b w:val="1"/>
          <w:bCs w:val="1"/>
          <w:color w:val="auto"/>
        </w:rPr>
        <w:t>Creation of a Direct Financial Obligation or an Obligation under an Off-Balance Sheet Arrangement of a Registrant.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information set forth above in Item 2.01 is incorporated herein by reference.</w:t>
      </w:r>
    </w:p>
    <w:p>
      <w:pPr>
        <w:spacing w:after="0" w:line="221" w:lineRule="exact"/>
        <w:rPr>
          <w:sz w:val="20"/>
          <w:szCs w:val="20"/>
          <w:color w:val="auto"/>
        </w:rPr>
      </w:pPr>
    </w:p>
    <w:p>
      <w:pPr>
        <w:spacing w:after="0"/>
        <w:tabs>
          <w:tab w:leader="none" w:pos="980" w:val="left"/>
        </w:tabs>
        <w:rPr>
          <w:sz w:val="20"/>
          <w:szCs w:val="20"/>
          <w:color w:val="auto"/>
        </w:rPr>
      </w:pPr>
      <w:r>
        <w:rPr>
          <w:rFonts w:ascii="Times New Roman" w:cs="Times New Roman" w:eastAsia="Times New Roman" w:hAnsi="Times New Roman"/>
          <w:sz w:val="18"/>
          <w:szCs w:val="18"/>
          <w:b w:val="1"/>
          <w:bCs w:val="1"/>
          <w:color w:val="auto"/>
        </w:rPr>
        <w:t>Item 7.01</w:t>
      </w:r>
      <w:r>
        <w:rPr>
          <w:sz w:val="20"/>
          <w:szCs w:val="20"/>
          <w:color w:val="auto"/>
        </w:rPr>
        <w:tab/>
      </w:r>
      <w:r>
        <w:rPr>
          <w:rFonts w:ascii="Times New Roman" w:cs="Times New Roman" w:eastAsia="Times New Roman" w:hAnsi="Times New Roman"/>
          <w:sz w:val="17"/>
          <w:szCs w:val="17"/>
          <w:b w:val="1"/>
          <w:bCs w:val="1"/>
          <w:color w:val="auto"/>
        </w:rPr>
        <w:t>Regulation FD Disclosure.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On February 23, 2023, the Company issued a press release announcing the closing of the Land Acquisition pursuant to the Purchase Agreement referred to in Item 2.01 above. A copy of the press release is furnished as Exhibit 99.1 hereto and is incorporated by reference herein.</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disclosure under this Item 7.01, including Exhibit 99.1 hereto, is being furnished and shall not be deemed “filed” for purposes of Section 18 of the Securities Exchange Act of 1934, as amended, or otherwise subject to the liabilities of that section. The information provided herein shall not be deemed incorporated by reference into any filing made under the Securities Act of 1933, as amended, except as expressly set forth by specific reference in such filing.</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1060" w:type="dxa"/>
            <w:vAlign w:val="bottom"/>
          </w:tcPr>
          <w:p>
            <w:pPr>
              <w:spacing w:after="0"/>
              <w:rPr>
                <w:sz w:val="20"/>
                <w:szCs w:val="20"/>
                <w:color w:val="auto"/>
              </w:rPr>
            </w:pPr>
            <w:r>
              <w:rPr>
                <w:rFonts w:ascii="Times New Roman" w:cs="Times New Roman" w:eastAsia="Times New Roman" w:hAnsi="Times New Roman"/>
                <w:sz w:val="18"/>
                <w:szCs w:val="18"/>
                <w:color w:val="auto"/>
              </w:rPr>
              <w:t>(d) Exhibits</w:t>
            </w:r>
          </w:p>
        </w:tc>
        <w:tc>
          <w:tcPr>
            <w:tcW w:w="2840" w:type="dxa"/>
            <w:vAlign w:val="bottom"/>
          </w:tcPr>
          <w:p>
            <w:pPr>
              <w:spacing w:after="0"/>
              <w:rPr>
                <w:sz w:val="20"/>
                <w:szCs w:val="20"/>
                <w:color w:val="auto"/>
              </w:rPr>
            </w:pPr>
          </w:p>
        </w:tc>
        <w:tc>
          <w:tcPr>
            <w:tcW w:w="6100" w:type="dxa"/>
            <w:vAlign w:val="bottom"/>
          </w:tcPr>
          <w:p>
            <w:pPr>
              <w:spacing w:after="0"/>
              <w:rPr>
                <w:sz w:val="20"/>
                <w:szCs w:val="20"/>
                <w:color w:val="auto"/>
              </w:rPr>
            </w:pPr>
          </w:p>
        </w:tc>
      </w:tr>
      <w:tr>
        <w:trPr>
          <w:trHeight w:val="459"/>
        </w:trPr>
        <w:tc>
          <w:tcPr>
            <w:tcW w:w="1060" w:type="dxa"/>
            <w:vAlign w:val="bottom"/>
          </w:tcPr>
          <w:p>
            <w:pPr>
              <w:ind w:left="40"/>
              <w:spacing w:after="0"/>
              <w:rPr>
                <w:sz w:val="20"/>
                <w:szCs w:val="20"/>
                <w:color w:val="auto"/>
              </w:rPr>
            </w:pPr>
            <w:r>
              <w:rPr>
                <w:rFonts w:ascii="Times New Roman" w:cs="Times New Roman" w:eastAsia="Times New Roman" w:hAnsi="Times New Roman"/>
                <w:sz w:val="18"/>
                <w:szCs w:val="18"/>
                <w:b w:val="1"/>
                <w:bCs w:val="1"/>
                <w:color w:val="auto"/>
              </w:rPr>
              <w:t>Exhibit No.</w:t>
            </w:r>
          </w:p>
        </w:tc>
        <w:tc>
          <w:tcPr>
            <w:tcW w:w="894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203"/>
        </w:trPr>
        <w:tc>
          <w:tcPr>
            <w:tcW w:w="1060" w:type="dxa"/>
            <w:vAlign w:val="bottom"/>
          </w:tcPr>
          <w:p>
            <w:pPr>
              <w:ind w:left="40"/>
              <w:spacing w:after="0" w:line="202" w:lineRule="exact"/>
              <w:rPr>
                <w:sz w:val="20"/>
                <w:szCs w:val="20"/>
                <w:color w:val="auto"/>
              </w:rPr>
            </w:pPr>
            <w:r>
              <w:rPr>
                <w:rFonts w:ascii="Times New Roman" w:cs="Times New Roman" w:eastAsia="Times New Roman" w:hAnsi="Times New Roman"/>
                <w:sz w:val="18"/>
                <w:szCs w:val="18"/>
                <w:color w:val="auto"/>
              </w:rPr>
              <w:t>10.1*</w:t>
            </w:r>
          </w:p>
        </w:tc>
        <w:tc>
          <w:tcPr>
            <w:tcW w:w="8940" w:type="dxa"/>
            <w:vAlign w:val="bottom"/>
            <w:tcBorders>
              <w:bottom w:val="single" w:sz="8" w:color="0000EE"/>
            </w:tcBorders>
            <w:gridSpan w:val="2"/>
          </w:tcPr>
          <w:p>
            <w:pPr>
              <w:spacing w:after="0" w:line="202" w:lineRule="exact"/>
              <w:rPr>
                <w:rFonts w:ascii="Times New Roman" w:cs="Times New Roman" w:eastAsia="Times New Roman" w:hAnsi="Times New Roman"/>
                <w:sz w:val="18"/>
                <w:szCs w:val="18"/>
                <w:color w:val="0000EE"/>
                <w:w w:val="99"/>
              </w:rPr>
            </w:pPr>
            <w:hyperlink r:id="rId9">
              <w:r>
                <w:rPr>
                  <w:rFonts w:ascii="Times New Roman" w:cs="Times New Roman" w:eastAsia="Times New Roman" w:hAnsi="Times New Roman"/>
                  <w:sz w:val="18"/>
                  <w:szCs w:val="18"/>
                  <w:color w:val="0000EE"/>
                  <w:w w:val="99"/>
                </w:rPr>
                <w:t>Real Estate Purchase Agreement dated as of September 8, 2022, by and between Nocera, Inc. and an unaffiliated third party.</w:t>
              </w:r>
            </w:hyperlink>
          </w:p>
        </w:tc>
      </w:tr>
      <w:tr>
        <w:trPr>
          <w:trHeight w:val="223"/>
        </w:trPr>
        <w:tc>
          <w:tcPr>
            <w:tcW w:w="10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99.1**</w:t>
            </w:r>
          </w:p>
        </w:tc>
        <w:tc>
          <w:tcPr>
            <w:tcW w:w="8940" w:type="dxa"/>
            <w:vAlign w:val="bottom"/>
            <w:gridSpan w:val="2"/>
          </w:tcPr>
          <w:p>
            <w:pPr>
              <w:spacing w:after="0"/>
              <w:rPr>
                <w:sz w:val="20"/>
                <w:szCs w:val="20"/>
                <w:color w:val="auto"/>
              </w:rPr>
            </w:pPr>
            <w:r>
              <w:rPr>
                <w:rFonts w:ascii="Times New Roman" w:cs="Times New Roman" w:eastAsia="Times New Roman" w:hAnsi="Times New Roman"/>
                <w:sz w:val="18"/>
                <w:szCs w:val="18"/>
                <w:color w:val="0000EE"/>
              </w:rPr>
              <w:t>Press Release issued February 23, 2023</w:t>
            </w:r>
            <w:r>
              <w:rPr>
                <w:rFonts w:ascii="Times New Roman" w:cs="Times New Roman" w:eastAsia="Times New Roman" w:hAnsi="Times New Roman"/>
                <w:sz w:val="18"/>
                <w:szCs w:val="18"/>
                <w:color w:val="000000"/>
              </w:rPr>
              <w:t>.</w:t>
            </w:r>
          </w:p>
        </w:tc>
      </w:tr>
      <w:tr>
        <w:trPr>
          <w:trHeight w:val="20"/>
        </w:trPr>
        <w:tc>
          <w:tcPr>
            <w:tcW w:w="1060" w:type="dxa"/>
            <w:vAlign w:val="bottom"/>
          </w:tcPr>
          <w:p>
            <w:pPr>
              <w:spacing w:after="0" w:line="20" w:lineRule="exact"/>
              <w:rPr>
                <w:sz w:val="1"/>
                <w:szCs w:val="1"/>
                <w:color w:val="auto"/>
              </w:rPr>
            </w:pPr>
          </w:p>
        </w:tc>
        <w:tc>
          <w:tcPr>
            <w:tcW w:w="2840" w:type="dxa"/>
            <w:vAlign w:val="bottom"/>
            <w:shd w:val="clear" w:color="auto" w:fill="0000EE"/>
          </w:tcPr>
          <w:p>
            <w:pPr>
              <w:spacing w:after="0" w:line="20" w:lineRule="exact"/>
              <w:rPr>
                <w:sz w:val="1"/>
                <w:szCs w:val="1"/>
                <w:color w:val="auto"/>
              </w:rPr>
            </w:pPr>
          </w:p>
        </w:tc>
        <w:tc>
          <w:tcPr>
            <w:tcW w:w="6100" w:type="dxa"/>
            <w:vAlign w:val="bottom"/>
          </w:tcPr>
          <w:p>
            <w:pPr>
              <w:spacing w:after="0" w:line="20" w:lineRule="exact"/>
              <w:rPr>
                <w:sz w:val="1"/>
                <w:szCs w:val="1"/>
                <w:color w:val="auto"/>
              </w:rPr>
            </w:pPr>
          </w:p>
        </w:tc>
      </w:tr>
      <w:tr>
        <w:trPr>
          <w:trHeight w:val="264"/>
        </w:trPr>
        <w:tc>
          <w:tcPr>
            <w:tcW w:w="106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104**</w:t>
            </w:r>
          </w:p>
        </w:tc>
        <w:tc>
          <w:tcPr>
            <w:tcW w:w="894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Cover Page Interactive Data File (formatted in inline XBRL, and included in exhibit 101).</w:t>
            </w:r>
          </w:p>
        </w:tc>
      </w:tr>
    </w:tbl>
    <w:p>
      <w:pPr>
        <w:spacing w:after="0" w:line="22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*Filed as Exhibit 10.1 to the Current Report on Form 8-K filed with the Securities and Exchange Commission on September 13, 2022 and incorporated by reference herein.</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**Filed herewith.</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700" w:type="dxa"/>
            <w:vAlign w:val="bottom"/>
          </w:tcPr>
          <w:p>
            <w:pPr>
              <w:spacing w:after="0"/>
              <w:rPr>
                <w:sz w:val="20"/>
                <w:szCs w:val="20"/>
                <w:color w:val="auto"/>
              </w:rPr>
            </w:pPr>
          </w:p>
        </w:tc>
        <w:tc>
          <w:tcPr>
            <w:tcW w:w="5100" w:type="dxa"/>
            <w:vAlign w:val="bottom"/>
            <w:gridSpan w:val="3"/>
          </w:tcPr>
          <w:p>
            <w:pPr>
              <w:ind w:left="1920"/>
              <w:spacing w:after="0"/>
              <w:rPr>
                <w:sz w:val="20"/>
                <w:szCs w:val="20"/>
                <w:color w:val="auto"/>
              </w:rPr>
            </w:pPr>
            <w:r>
              <w:rPr>
                <w:rFonts w:ascii="Times New Roman" w:cs="Times New Roman" w:eastAsia="Times New Roman" w:hAnsi="Times New Roman"/>
                <w:sz w:val="18"/>
                <w:szCs w:val="18"/>
                <w:b w:val="1"/>
                <w:bCs w:val="1"/>
                <w:color w:val="auto"/>
              </w:rPr>
              <w:t>NOCERA, INC.</w:t>
            </w:r>
          </w:p>
        </w:tc>
      </w:tr>
      <w:tr>
        <w:trPr>
          <w:trHeight w:val="391"/>
        </w:trPr>
        <w:tc>
          <w:tcPr>
            <w:tcW w:w="3700" w:type="dxa"/>
            <w:vAlign w:val="bottom"/>
          </w:tcPr>
          <w:p>
            <w:pPr>
              <w:spacing w:after="0"/>
              <w:rPr>
                <w:sz w:val="20"/>
                <w:szCs w:val="20"/>
                <w:color w:val="auto"/>
              </w:rPr>
            </w:pPr>
            <w:r>
              <w:rPr>
                <w:rFonts w:ascii="Times New Roman" w:cs="Times New Roman" w:eastAsia="Times New Roman" w:hAnsi="Times New Roman"/>
                <w:sz w:val="18"/>
                <w:szCs w:val="18"/>
                <w:color w:val="auto"/>
              </w:rPr>
              <w:t>Date: February 23, 2023</w:t>
            </w:r>
          </w:p>
        </w:tc>
        <w:tc>
          <w:tcPr>
            <w:tcW w:w="5100" w:type="dxa"/>
            <w:vAlign w:val="bottom"/>
            <w:gridSpan w:val="3"/>
          </w:tcPr>
          <w:p>
            <w:pPr>
              <w:ind w:left="192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i w:val="1"/>
                <w:iCs w:val="1"/>
                <w:color w:val="auto"/>
              </w:rPr>
              <w:t>/s/ Yin-Chieh Cheng</w:t>
            </w:r>
          </w:p>
        </w:tc>
      </w:tr>
      <w:tr>
        <w:trPr>
          <w:trHeight w:val="20"/>
        </w:trPr>
        <w:tc>
          <w:tcPr>
            <w:tcW w:w="370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420" w:type="dxa"/>
            <w:vAlign w:val="bottom"/>
          </w:tcPr>
          <w:p>
            <w:pPr>
              <w:spacing w:after="0" w:line="20" w:lineRule="exact"/>
              <w:rPr>
                <w:sz w:val="1"/>
                <w:szCs w:val="1"/>
                <w:color w:val="auto"/>
              </w:rPr>
            </w:pPr>
          </w:p>
        </w:tc>
      </w:tr>
      <w:tr>
        <w:trPr>
          <w:trHeight w:val="218"/>
        </w:trPr>
        <w:tc>
          <w:tcPr>
            <w:tcW w:w="3700" w:type="dxa"/>
            <w:vAlign w:val="bottom"/>
          </w:tcPr>
          <w:p>
            <w:pPr>
              <w:spacing w:after="0"/>
              <w:rPr>
                <w:sz w:val="18"/>
                <w:szCs w:val="18"/>
                <w:color w:val="auto"/>
              </w:rPr>
            </w:pPr>
          </w:p>
        </w:tc>
        <w:tc>
          <w:tcPr>
            <w:tcW w:w="5100" w:type="dxa"/>
            <w:vAlign w:val="bottom"/>
            <w:gridSpan w:val="3"/>
          </w:tcPr>
          <w:p>
            <w:pPr>
              <w:ind w:left="1920"/>
              <w:spacing w:after="0"/>
              <w:rPr>
                <w:sz w:val="20"/>
                <w:szCs w:val="20"/>
                <w:color w:val="auto"/>
              </w:rPr>
            </w:pPr>
            <w:r>
              <w:rPr>
                <w:rFonts w:ascii="Times New Roman" w:cs="Times New Roman" w:eastAsia="Times New Roman" w:hAnsi="Times New Roman"/>
                <w:sz w:val="18"/>
                <w:szCs w:val="18"/>
                <w:color w:val="auto"/>
              </w:rPr>
              <w:t>Name: Yin-Chieh Cheng</w:t>
            </w:r>
          </w:p>
        </w:tc>
      </w:tr>
      <w:tr>
        <w:trPr>
          <w:trHeight w:val="234"/>
        </w:trPr>
        <w:tc>
          <w:tcPr>
            <w:tcW w:w="3700" w:type="dxa"/>
            <w:vAlign w:val="bottom"/>
          </w:tcPr>
          <w:p>
            <w:pPr>
              <w:spacing w:after="0"/>
              <w:rPr>
                <w:sz w:val="20"/>
                <w:szCs w:val="20"/>
                <w:color w:val="auto"/>
              </w:rPr>
            </w:pPr>
          </w:p>
        </w:tc>
        <w:tc>
          <w:tcPr>
            <w:tcW w:w="5100" w:type="dxa"/>
            <w:vAlign w:val="bottom"/>
            <w:gridSpan w:val="3"/>
          </w:tcPr>
          <w:p>
            <w:pPr>
              <w:ind w:left="1920"/>
              <w:spacing w:after="0"/>
              <w:rPr>
                <w:sz w:val="20"/>
                <w:szCs w:val="20"/>
                <w:color w:val="auto"/>
              </w:rPr>
            </w:pPr>
            <w:r>
              <w:rPr>
                <w:rFonts w:ascii="Times New Roman" w:cs="Times New Roman" w:eastAsia="Times New Roman" w:hAnsi="Times New Roman"/>
                <w:sz w:val="18"/>
                <w:szCs w:val="18"/>
                <w:color w:val="auto"/>
                <w:w w:val="99"/>
              </w:rPr>
              <w:t>Title: President and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20"/>
          </w:cols>
          <w:pgMar w:left="320" w:top="792" w:right="65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FOR IMMEDIATE RELEASE</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23, 2023</w:t>
      </w:r>
    </w:p>
    <w:p>
      <w:pPr>
        <w:spacing w:after="0" w:line="200" w:lineRule="exact"/>
        <w:rPr>
          <w:sz w:val="20"/>
          <w:szCs w:val="20"/>
          <w:color w:val="auto"/>
        </w:rPr>
      </w:pPr>
    </w:p>
    <w:p>
      <w:pPr>
        <w:spacing w:after="0" w:line="228"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2"/>
          <w:szCs w:val="22"/>
          <w:b w:val="1"/>
          <w:bCs w:val="1"/>
          <w:color w:val="auto"/>
        </w:rPr>
        <w:t>Nocera, Inc. Purchases 229 Acres of Agricultural Land in Montgomery, Alabama</w:t>
      </w:r>
    </w:p>
    <w:p>
      <w:pPr>
        <w:spacing w:after="0" w:line="21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i w:val="1"/>
          <w:iCs w:val="1"/>
          <w:color w:val="auto"/>
        </w:rPr>
        <w:t>Company Prepares To Construct Its First U.S. Large Scale Fish Farm</w:t>
      </w:r>
    </w:p>
    <w:p>
      <w:pPr>
        <w:spacing w:after="0" w:line="223" w:lineRule="exact"/>
        <w:rPr>
          <w:sz w:val="20"/>
          <w:szCs w:val="20"/>
          <w:color w:val="auto"/>
        </w:rPr>
      </w:pPr>
    </w:p>
    <w:p>
      <w:pPr>
        <w:ind w:right="2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Taipei, Taiwan - February 23, 2023 - </w:t>
      </w:r>
      <w:r>
        <w:rPr>
          <w:rFonts w:ascii="Times New Roman" w:cs="Times New Roman" w:eastAsia="Times New Roman" w:hAnsi="Times New Roman"/>
          <w:sz w:val="18"/>
          <w:szCs w:val="18"/>
          <w:color w:val="auto"/>
        </w:rPr>
        <w:t>Nocera, Inc. (NASDAQ: NCRA) (“Nocera” or the “Company”), a leading food production company focusing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primarily on manufacturing and operating land-based Recirculatory Aquaculture Systems (“RASs”), announced today that on February 16, 2023, it closed on its $875,000 purchase of 229 acres of agricultural land in Montgomery, Alabama, of which was funded through available cash of $225,000 and loan proceeds of $650,000 from an unaffiliated Taiwan financial company. Nocera plans to use the land to construct its first large scale fish farm designed to use its RASs and tanks.</w:t>
      </w:r>
    </w:p>
    <w:p>
      <w:pPr>
        <w:spacing w:after="0" w:line="183" w:lineRule="exact"/>
        <w:rPr>
          <w:sz w:val="20"/>
          <w:szCs w:val="20"/>
          <w:color w:val="auto"/>
        </w:rPr>
      </w:pPr>
    </w:p>
    <w:p>
      <w:pPr>
        <w:ind w:right="800"/>
        <w:spacing w:after="0" w:line="282" w:lineRule="auto"/>
        <w:rPr>
          <w:sz w:val="20"/>
          <w:szCs w:val="20"/>
          <w:color w:val="auto"/>
        </w:rPr>
      </w:pPr>
      <w:r>
        <w:rPr>
          <w:rFonts w:ascii="Times New Roman" w:cs="Times New Roman" w:eastAsia="Times New Roman" w:hAnsi="Times New Roman"/>
          <w:sz w:val="18"/>
          <w:szCs w:val="18"/>
          <w:color w:val="auto"/>
        </w:rPr>
        <w:t>The Company plans to begin site preparation and construction by the third quarter of this year. The site is expected to serve as a model for future construction and is the first of many facilities that Nocera plans to launch.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wp:posOffset>
            </wp:positionH>
            <wp:positionV relativeFrom="paragraph">
              <wp:posOffset>114300</wp:posOffset>
            </wp:positionV>
            <wp:extent cx="6231890" cy="13970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extLst>
                    </a:blip>
                    <a:srcRect/>
                    <a:stretch>
                      <a:fillRect/>
                    </a:stretch>
                  </pic:blipFill>
                  <pic:spPr bwMode="auto">
                    <a:xfrm>
                      <a:off x="0" y="0"/>
                      <a:ext cx="6231890" cy="1397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right="80"/>
        <w:spacing w:after="0" w:line="266" w:lineRule="auto"/>
        <w:rPr>
          <w:sz w:val="20"/>
          <w:szCs w:val="20"/>
          <w:color w:val="auto"/>
        </w:rPr>
      </w:pPr>
      <w:r>
        <w:rPr>
          <w:rFonts w:ascii="Times New Roman" w:cs="Times New Roman" w:eastAsia="Times New Roman" w:hAnsi="Times New Roman"/>
          <w:sz w:val="18"/>
          <w:szCs w:val="18"/>
          <w:color w:val="auto"/>
        </w:rPr>
        <w:t>According to Nocera’s Chief Executive Officer, Jeff Cheng, “With just one facility located in Montgomery, Alabama, operating at capacity, we can see the potential to generate substantial revenue with a replicable model that can be used elsewhere in the U.S. and also globally. Our goal is to eventually build several fish farms across the U.S. These are exciting times for us and our shareholders.”</w:t>
      </w:r>
    </w:p>
    <w:p>
      <w:pPr>
        <w:spacing w:after="0" w:line="176" w:lineRule="exact"/>
        <w:rPr>
          <w:sz w:val="20"/>
          <w:szCs w:val="20"/>
          <w:color w:val="auto"/>
        </w:rPr>
      </w:pPr>
    </w:p>
    <w:p>
      <w:pPr>
        <w:spacing w:after="0" w:line="261" w:lineRule="auto"/>
        <w:rPr>
          <w:sz w:val="20"/>
          <w:szCs w:val="20"/>
          <w:color w:val="auto"/>
        </w:rPr>
      </w:pPr>
      <w:r>
        <w:rPr>
          <w:rFonts w:ascii="Times New Roman" w:cs="Times New Roman" w:eastAsia="Times New Roman" w:hAnsi="Times New Roman"/>
          <w:sz w:val="18"/>
          <w:szCs w:val="18"/>
          <w:color w:val="auto"/>
        </w:rPr>
        <w:t>Jeff Cheng added, “We remain committed to using the latest sustainable and environmentally friendly technologies in our food production processes, and we plan to ensure that the new fish farm adheres to the highest possible standards of environmental protection. We look forward to launching a fish farm on our newly acquired land in Montgomery, Alabama and additional fish farms to become a leading food production company in the United States and beyond.”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Nocera, Inc.</w:t>
      </w:r>
    </w:p>
    <w:p>
      <w:pPr>
        <w:spacing w:after="0" w:line="229" w:lineRule="exact"/>
        <w:rPr>
          <w:sz w:val="20"/>
          <w:szCs w:val="20"/>
          <w:color w:val="auto"/>
        </w:rPr>
      </w:pPr>
    </w:p>
    <w:p>
      <w:pPr>
        <w:ind w:right="40"/>
        <w:spacing w:after="0" w:line="261" w:lineRule="auto"/>
        <w:rPr>
          <w:sz w:val="20"/>
          <w:szCs w:val="20"/>
          <w:color w:val="auto"/>
        </w:rPr>
      </w:pPr>
      <w:r>
        <w:rPr>
          <w:rFonts w:ascii="Times New Roman" w:cs="Times New Roman" w:eastAsia="Times New Roman" w:hAnsi="Times New Roman"/>
          <w:sz w:val="18"/>
          <w:szCs w:val="18"/>
          <w:color w:val="auto"/>
        </w:rPr>
        <w:t>Nocera, Inc. (NASDAQ: NCRA) is a fully integrated sustainable seafood company that provides land-based RASs for both fresh and saltwater fish and invests in fish farms by building high-tech RASs. The Company’s main business operation consists of the design, development, and production of large-scale RASs, aquaculture for fish farms along with expert consulting, technology transfer, and aquaculture project management services to new and existing aquaculture facilities and operators. For more information, please visit the Company’s website at www.nocera.company.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605790</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20"/>
          </w:cols>
          <w:pgMar w:left="320" w:top="117" w:right="35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Cautionary Note Regarding Forward-Looking Statements</w:t>
      </w:r>
    </w:p>
    <w:p>
      <w:pPr>
        <w:spacing w:after="0" w:line="229"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color w:val="auto"/>
        </w:rPr>
        <w:t>This press release contains forward-looking statements that are inherently subject to risks and uncertainties. Any statements contained in this document that are not historical facts are forward-looking statements as defined in the U.S. Private Securities Litigation Reform Act of 1995. Words such as “anticipates,” “believes,” “estimates,” “expects,” “forecasts,” “intends,” “may,” “plan,” “projects,” “predicts,” “should,” “will” and similar expressions as they relate to Nocera are intended to identify such forward-looking statements. These risks and uncertainties include, but are not limited to, general economic and business conditions, effects of continued geopolitical unrest and regional conflicts, competition, changes in methods of marketing, delays in manufacturing or distribution, changes in customer order patterns, changes in customer offering mix, and various other factors beyond the Company’s control. Nocera, Inc. cautions readers that forward-looking statements are based on management’s expectations and assumptions as of the date of this press release and are subject to certain risks and uncertainties that could cause actual results to differ materially. Accordingly, you should not rely upon forward-looking statements as predictions of future events. Forward-looking statements reflect the Company’s analysis only on their stated date, and Nocera, Inc. takes no obligation to update or revise these statements except as may be required by law. More detailed information about the risk factors that may affect the realization of forward-looking statements is contained under the heading “Risk Factors” in Nocera, Inc.’s and elsewhere in the Company’s quarterly and annual periodic reports filed with the Securities and Exchange Commission (SEC), which are available free of charge on the SEC’s website, http://www.sec.gov.</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Investor Contact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Hanover International, Inc.</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760-564-7400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JH@hanoverintlinc.com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20"/>
      </w:cols>
      <w:pgMar w:left="320" w:top="792"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9" Type="http://schemas.openxmlformats.org/officeDocument/2006/relationships/hyperlink" Target="http://www.sec.gov/Archives/edgar/data/1756180/000168316822006348/nocera_ex10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2023-02-23T13:41:13Z</dcterms:created>
  <dcterms:modified xsi:type="dcterms:W3CDTF">2023-02-23T13:41:13Z</dcterms:modified>
</cp:coreProperties>
</file>