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Times New Roman" w:cs="Times New Roman" w:eastAsia="Times New Roman" w:hAnsi="Times New Roman"/>
          <w:sz w:val="18"/>
          <w:szCs w:val="18"/>
          <w:b w:val="1"/>
          <w:bCs w:val="1"/>
          <w:color w:val="auto"/>
        </w:rPr>
        <w:t>UNITED STATES</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FORM 8-K</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CURRENT REPORT</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Pursuant to Section 13 or 15(d) of the Securities Exchange Act of 1934</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 xml:space="preserve">Date of Report (date of earliest event reported): </w:t>
      </w:r>
      <w:r>
        <w:rPr>
          <w:rFonts w:ascii="Times New Roman" w:cs="Times New Roman" w:eastAsia="Times New Roman" w:hAnsi="Times New Roman"/>
          <w:sz w:val="18"/>
          <w:szCs w:val="18"/>
          <w:b w:val="1"/>
          <w:bCs w:val="1"/>
          <w:color w:val="auto"/>
        </w:rPr>
        <w:t>January 12, 2026</w:t>
      </w:r>
    </w:p>
    <w:p>
      <w:pPr>
        <w:spacing w:after="0" w:line="21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b w:val="1"/>
          <w:bCs w:val="1"/>
          <w:u w:val="single" w:color="auto"/>
          <w:color w:val="auto"/>
        </w:rPr>
        <w:t>NOCERA, INC.</w:t>
      </w:r>
    </w:p>
    <w:p>
      <w:pPr>
        <w:spacing w:after="0" w:line="2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(Exact name of registrant as specified in charter)</w:t>
      </w:r>
    </w:p>
    <w:p>
      <w:pPr>
        <w:spacing w:after="0" w:line="201" w:lineRule="exact"/>
        <w:rPr>
          <w:sz w:val="24"/>
          <w:szCs w:val="24"/>
          <w:color w:val="auto"/>
        </w:rPr>
      </w:pPr>
    </w:p>
    <w:tbl>
      <w:tblPr>
        <w:tblLayout w:type="fixed"/>
        <w:tblInd w:w="0" w:type="dxa"/>
        <w:tblCellMar>
          <w:top w:w="0" w:type="dxa"/>
          <w:left w:w="0" w:type="dxa"/>
          <w:bottom w:w="0" w:type="dxa"/>
          <w:right w:w="0" w:type="dxa"/>
        </w:tblCellMar>
      </w:tblPr>
      <w:tr>
        <w:trPr>
          <w:trHeight w:val="245"/>
        </w:trPr>
        <w:tc>
          <w:tcPr>
            <w:tcW w:w="38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Nevada</w:t>
            </w: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001-41434</w:t>
            </w:r>
          </w:p>
        </w:tc>
        <w:tc>
          <w:tcPr>
            <w:tcW w:w="200" w:type="dxa"/>
            <w:vAlign w:val="bottom"/>
          </w:tcPr>
          <w:p>
            <w:pPr>
              <w:spacing w:after="0"/>
              <w:rPr>
                <w:sz w:val="21"/>
                <w:szCs w:val="21"/>
                <w:color w:val="auto"/>
              </w:rPr>
            </w:pP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16-1626611</w:t>
            </w:r>
          </w:p>
        </w:tc>
      </w:tr>
      <w:tr>
        <w:trPr>
          <w:trHeight w:val="198"/>
        </w:trPr>
        <w:tc>
          <w:tcPr>
            <w:tcW w:w="362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rPr>
              <w:t>(State or other jurisdiction</w:t>
            </w:r>
          </w:p>
        </w:tc>
        <w:tc>
          <w:tcPr>
            <w:tcW w:w="220" w:type="dxa"/>
            <w:vAlign w:val="bottom"/>
          </w:tcPr>
          <w:p>
            <w:pPr>
              <w:spacing w:after="0"/>
              <w:rPr>
                <w:sz w:val="17"/>
                <w:szCs w:val="17"/>
                <w:color w:val="auto"/>
              </w:rPr>
            </w:pPr>
          </w:p>
        </w:tc>
        <w:tc>
          <w:tcPr>
            <w:tcW w:w="360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w w:val="98"/>
              </w:rPr>
              <w:t>(Commission</w:t>
            </w:r>
          </w:p>
        </w:tc>
        <w:tc>
          <w:tcPr>
            <w:tcW w:w="200" w:type="dxa"/>
            <w:vAlign w:val="bottom"/>
          </w:tcPr>
          <w:p>
            <w:pPr>
              <w:spacing w:after="0"/>
              <w:rPr>
                <w:sz w:val="17"/>
                <w:szCs w:val="17"/>
                <w:color w:val="auto"/>
              </w:rPr>
            </w:pPr>
          </w:p>
        </w:tc>
        <w:tc>
          <w:tcPr>
            <w:tcW w:w="360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rPr>
              <w:t>(IRS Employer</w:t>
            </w:r>
          </w:p>
        </w:tc>
      </w:tr>
      <w:tr>
        <w:trPr>
          <w:trHeight w:val="234"/>
        </w:trPr>
        <w:tc>
          <w:tcPr>
            <w:tcW w:w="38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color w:val="auto"/>
                <w:w w:val="99"/>
              </w:rPr>
              <w:t>of incorporation)</w:t>
            </w:r>
          </w:p>
        </w:tc>
        <w:tc>
          <w:tcPr>
            <w:tcW w:w="380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color w:val="auto"/>
                <w:w w:val="98"/>
              </w:rPr>
              <w:t>File Number)</w:t>
            </w: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Identification No.)</w:t>
            </w:r>
          </w:p>
        </w:tc>
      </w:tr>
    </w:tbl>
    <w:p>
      <w:pPr>
        <w:spacing w:after="0" w:line="194"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3F (Building B), No. 185, Sec. 1, Datong Rd., Xizhi Dist., New Taipei City Taiwan 221, ROC</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(Address of principal executive offices and zip code)</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(886) 910-163-358</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(Registrant’s telephone number, including area code)</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N/A</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(Former name or former address, if changed since last report)</w:t>
      </w:r>
    </w:p>
    <w:p>
      <w:pPr>
        <w:spacing w:after="0" w:line="207" w:lineRule="exact"/>
        <w:rPr>
          <w:sz w:val="24"/>
          <w:szCs w:val="24"/>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Check the appropriate box below if the Form 8-K filing is intended to simultaneously satisfy the filing obligation of registrant under any of the following provisions:</w:t>
      </w:r>
    </w:p>
    <w:p>
      <w:pPr>
        <w:spacing w:after="0" w:line="162" w:lineRule="exact"/>
        <w:rPr>
          <w:sz w:val="24"/>
          <w:szCs w:val="24"/>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Written communications pursuant to Rule 425 under the Securities Act (17 CFR 230.425)</w:t>
      </w:r>
    </w:p>
    <w:p>
      <w:pPr>
        <w:spacing w:after="0" w:line="225" w:lineRule="exact"/>
        <w:rPr>
          <w:rFonts w:ascii="MS PGothic" w:cs="MS PGothic" w:eastAsia="MS PGothic" w:hAnsi="MS PGothic"/>
          <w:sz w:val="18"/>
          <w:szCs w:val="18"/>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Soliciting material pursuant to Rule 14a-12 under the Exchange Act (17 CFR 240.14a-12)</w:t>
      </w:r>
    </w:p>
    <w:p>
      <w:pPr>
        <w:spacing w:after="0" w:line="225" w:lineRule="exact"/>
        <w:rPr>
          <w:rFonts w:ascii="MS PGothic" w:cs="MS PGothic" w:eastAsia="MS PGothic" w:hAnsi="MS PGothic"/>
          <w:sz w:val="18"/>
          <w:szCs w:val="18"/>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Pre-commencement communications pursuant to Rule 14d-2(b) under the Exchange Act (17 CFR 240.14d-2(b))</w:t>
      </w:r>
    </w:p>
    <w:p>
      <w:pPr>
        <w:spacing w:after="0" w:line="225" w:lineRule="exact"/>
        <w:rPr>
          <w:rFonts w:ascii="MS PGothic" w:cs="MS PGothic" w:eastAsia="MS PGothic" w:hAnsi="MS PGothic"/>
          <w:sz w:val="18"/>
          <w:szCs w:val="18"/>
          <w:color w:val="auto"/>
        </w:rPr>
      </w:pPr>
    </w:p>
    <w:p>
      <w:pPr>
        <w:ind w:right="2980" w:firstLine="8"/>
        <w:spacing w:after="0" w:line="498" w:lineRule="auto"/>
        <w:tabs>
          <w:tab w:leader="none" w:pos="207"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Pre-commencement communications pursuant to Rule 13e-4(c) under the Exchange Act (17 CFR 240.13e-4(c)) Securities registered pursuant to Section 12(b) of the Act: None</w:t>
      </w:r>
    </w:p>
    <w:p>
      <w:pPr>
        <w:spacing w:after="0" w:line="1" w:lineRule="exact"/>
        <w:rPr>
          <w:sz w:val="24"/>
          <w:szCs w:val="24"/>
          <w:color w:val="auto"/>
        </w:rPr>
      </w:pPr>
    </w:p>
    <w:tbl>
      <w:tblPr>
        <w:tblLayout w:type="fixed"/>
        <w:tblInd w:w="0" w:type="dxa"/>
        <w:tblCellMar>
          <w:top w:w="0" w:type="dxa"/>
          <w:left w:w="0" w:type="dxa"/>
          <w:bottom w:w="0" w:type="dxa"/>
          <w:right w:w="0" w:type="dxa"/>
        </w:tblCellMar>
      </w:tblPr>
      <w:tr>
        <w:trPr>
          <w:trHeight w:val="238"/>
        </w:trPr>
        <w:tc>
          <w:tcPr>
            <w:tcW w:w="438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Title of each class</w:t>
            </w:r>
          </w:p>
        </w:tc>
        <w:tc>
          <w:tcPr>
            <w:tcW w:w="24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Trading Symbol</w:t>
            </w:r>
          </w:p>
        </w:tc>
        <w:tc>
          <w:tcPr>
            <w:tcW w:w="44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Name of each exchange on which registered</w:t>
            </w:r>
          </w:p>
        </w:tc>
      </w:tr>
      <w:tr>
        <w:trPr>
          <w:trHeight w:val="228"/>
        </w:trPr>
        <w:tc>
          <w:tcPr>
            <w:tcW w:w="43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Common Stock, par value $0.001 per share</w:t>
            </w:r>
          </w:p>
        </w:tc>
        <w:tc>
          <w:tcPr>
            <w:tcW w:w="24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NCRA</w:t>
            </w:r>
          </w:p>
        </w:tc>
        <w:tc>
          <w:tcPr>
            <w:tcW w:w="44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The Nasdaq Stock Market LLC</w:t>
            </w:r>
          </w:p>
        </w:tc>
      </w:tr>
    </w:tbl>
    <w:p>
      <w:pPr>
        <w:spacing w:after="0" w:line="179" w:lineRule="exact"/>
        <w:rPr>
          <w:sz w:val="24"/>
          <w:szCs w:val="24"/>
          <w:color w:val="auto"/>
        </w:rPr>
      </w:pPr>
    </w:p>
    <w:p>
      <w:pPr>
        <w:jc w:val="both"/>
        <w:ind w:right="20"/>
        <w:spacing w:after="0" w:line="258" w:lineRule="auto"/>
        <w:rPr>
          <w:sz w:val="20"/>
          <w:szCs w:val="20"/>
          <w:color w:val="auto"/>
        </w:rPr>
      </w:pPr>
      <w:r>
        <w:rPr>
          <w:rFonts w:ascii="Times New Roman" w:cs="Times New Roman" w:eastAsia="Times New Roman" w:hAnsi="Times New Roman"/>
          <w:sz w:val="18"/>
          <w:szCs w:val="18"/>
          <w:color w:val="auto"/>
        </w:rPr>
        <w:t>Indicate by check mark whether the registrant is an emerging growth company as defined in Rule 405 of the Securities Act of 1933 (§230.405 of this chapter) or Rule 12b-2 of the Securities Exchange Act of 1934 (§240.12b-2 of this chapter)</w:t>
      </w:r>
    </w:p>
    <w:p>
      <w:pPr>
        <w:ind w:left="9060"/>
        <w:spacing w:after="0" w:line="196" w:lineRule="exact"/>
        <w:rPr>
          <w:sz w:val="20"/>
          <w:szCs w:val="20"/>
          <w:color w:val="auto"/>
        </w:rPr>
      </w:pPr>
      <w:r>
        <w:rPr>
          <w:rFonts w:ascii="Times New Roman" w:cs="Times New Roman" w:eastAsia="Times New Roman" w:hAnsi="Times New Roman"/>
          <w:sz w:val="17"/>
          <w:szCs w:val="17"/>
          <w:color w:val="auto"/>
        </w:rPr>
        <w:t xml:space="preserve">Emerging growth company </w:t>
      </w:r>
      <w:r>
        <w:rPr>
          <w:rFonts w:ascii="MS PGothic" w:cs="MS PGothic" w:eastAsia="MS PGothic" w:hAnsi="MS PGothic"/>
          <w:sz w:val="17"/>
          <w:szCs w:val="17"/>
          <w:color w:val="auto"/>
        </w:rPr>
        <w:t>☒</w:t>
      </w:r>
    </w:p>
    <w:p>
      <w:pPr>
        <w:spacing w:after="0" w:line="223" w:lineRule="exact"/>
        <w:rPr>
          <w:sz w:val="24"/>
          <w:szCs w:val="24"/>
          <w:color w:val="auto"/>
        </w:rPr>
      </w:pPr>
    </w:p>
    <w:p>
      <w:pPr>
        <w:jc w:val="both"/>
        <w:spacing w:after="0" w:line="293" w:lineRule="exact"/>
        <w:rPr>
          <w:sz w:val="20"/>
          <w:szCs w:val="20"/>
          <w:color w:val="auto"/>
        </w:rPr>
      </w:pPr>
      <w:r>
        <w:rPr>
          <w:rFonts w:ascii="Times New Roman" w:cs="Times New Roman" w:eastAsia="Times New Roman" w:hAnsi="Times New Roman"/>
          <w:sz w:val="18"/>
          <w:szCs w:val="18"/>
          <w:color w:val="auto"/>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635000</wp:posOffset>
            </wp:positionV>
            <wp:extent cx="71323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5" w:right="339" w:bottom="1440" w:gutter="0" w:footer="0" w:header="0"/>
        </w:sectPr>
      </w:pPr>
    </w:p>
    <w:bookmarkStart w:id="1" w:name="page2"/>
    <w:bookmarkEnd w:id="1"/>
    <w:p>
      <w:pPr>
        <w:spacing w:after="0"/>
        <w:rPr>
          <w:sz w:val="20"/>
          <w:szCs w:val="20"/>
          <w:color w:val="auto"/>
        </w:rPr>
      </w:pPr>
      <w:r>
        <w:rPr>
          <w:rFonts w:ascii="Times New Roman" w:cs="Times New Roman" w:eastAsia="Times New Roman" w:hAnsi="Times New Roman"/>
          <w:sz w:val="18"/>
          <w:szCs w:val="18"/>
          <w:b w:val="1"/>
          <w:bCs w:val="1"/>
          <w:color w:val="auto"/>
        </w:rPr>
        <w:t>Item 5.07 Submission of Matters to a Vote of Security Holders.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color w:val="auto"/>
        </w:rPr>
        <w:t>On January 12, 2026, Nocera, Inc. (the “Company”) held its 2025 Annual Meeting of Stockholders (the “Annual Meeting”), which was conducted virtually.</w:t>
      </w:r>
    </w:p>
    <w:p>
      <w:pPr>
        <w:spacing w:after="0" w:line="237"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As of the close of business on October 29, 2025, the record date as determined by the Company’s Board of Directors (the “Board”), there were 14,373,597 shares of the Company’s common stock, par value $0.001 per share, outstanding and entitled to vote, with each share entitled to one vote.</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At the Annual Meeting, 12,552,055 shares of the Company’s common stock were represented in person or by proxy, representing approximately 87.33% of the outstanding shares entitled to vote. The presence of these shares constituted a quorum pursuant to the Nevada Revised Statutes and the Company’s Amended and Restated Bylaws.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final voting results for each matter submitted to a vote of stockholders at the Annual Meeting were as follows:</w:t>
      </w:r>
    </w:p>
    <w:p>
      <w:pPr>
        <w:spacing w:after="0" w:line="225" w:lineRule="exact"/>
        <w:rPr>
          <w:sz w:val="20"/>
          <w:szCs w:val="20"/>
          <w:color w:val="auto"/>
        </w:rPr>
      </w:pPr>
    </w:p>
    <w:p>
      <w:pPr>
        <w:ind w:left="660" w:hanging="328"/>
        <w:spacing w:after="0"/>
        <w:tabs>
          <w:tab w:leader="none" w:pos="66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Election of Directors:</w:t>
      </w:r>
    </w:p>
    <w:p>
      <w:pPr>
        <w:spacing w:after="0" w:line="225" w:lineRule="exact"/>
        <w:rPr>
          <w:sz w:val="20"/>
          <w:szCs w:val="20"/>
          <w:color w:val="auto"/>
        </w:rPr>
      </w:pPr>
    </w:p>
    <w:p>
      <w:pPr>
        <w:ind w:right="120"/>
        <w:spacing w:after="0" w:line="282" w:lineRule="auto"/>
        <w:rPr>
          <w:sz w:val="20"/>
          <w:szCs w:val="20"/>
          <w:color w:val="auto"/>
        </w:rPr>
      </w:pPr>
      <w:r>
        <w:rPr>
          <w:rFonts w:ascii="Times New Roman" w:cs="Times New Roman" w:eastAsia="Times New Roman" w:hAnsi="Times New Roman"/>
          <w:sz w:val="18"/>
          <w:szCs w:val="18"/>
          <w:color w:val="auto"/>
        </w:rPr>
        <w:t>The following five (5) nominees were elected to serve as directors of the Company until the next annual meeting of stockholders or until their successors are duly elected and qualified:</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418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Name</w:t>
            </w:r>
          </w:p>
        </w:tc>
        <w:tc>
          <w:tcPr>
            <w:tcW w:w="1820" w:type="dxa"/>
            <w:vAlign w:val="bottom"/>
            <w:gridSpan w:val="2"/>
          </w:tcPr>
          <w:p>
            <w:pPr>
              <w:ind w:left="420"/>
              <w:spacing w:after="0"/>
              <w:rPr>
                <w:sz w:val="20"/>
                <w:szCs w:val="20"/>
                <w:color w:val="auto"/>
              </w:rPr>
            </w:pPr>
            <w:r>
              <w:rPr>
                <w:rFonts w:ascii="Times New Roman" w:cs="Times New Roman" w:eastAsia="Times New Roman" w:hAnsi="Times New Roman"/>
                <w:sz w:val="18"/>
                <w:szCs w:val="18"/>
                <w:b w:val="1"/>
                <w:bCs w:val="1"/>
                <w:color w:val="auto"/>
              </w:rPr>
              <w:t>Votes For</w:t>
            </w:r>
          </w:p>
        </w:tc>
        <w:tc>
          <w:tcPr>
            <w:tcW w:w="1320" w:type="dxa"/>
            <w:vAlign w:val="bottom"/>
          </w:tcPr>
          <w:p>
            <w:pPr>
              <w:ind w:left="420"/>
              <w:spacing w:after="0"/>
              <w:rPr>
                <w:sz w:val="20"/>
                <w:szCs w:val="20"/>
                <w:color w:val="auto"/>
              </w:rPr>
            </w:pPr>
            <w:r>
              <w:rPr>
                <w:rFonts w:ascii="Times New Roman" w:cs="Times New Roman" w:eastAsia="Times New Roman" w:hAnsi="Times New Roman"/>
                <w:sz w:val="18"/>
                <w:szCs w:val="18"/>
                <w:b w:val="1"/>
                <w:bCs w:val="1"/>
                <w:color w:val="auto"/>
              </w:rPr>
              <w:t>Withheld</w:t>
            </w:r>
          </w:p>
        </w:tc>
        <w:tc>
          <w:tcPr>
            <w:tcW w:w="2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780" w:type="dxa"/>
            <w:vAlign w:val="bottom"/>
            <w:gridSpan w:val="2"/>
          </w:tcPr>
          <w:p>
            <w:pPr>
              <w:ind w:left="480"/>
              <w:spacing w:after="0"/>
              <w:rPr>
                <w:sz w:val="20"/>
                <w:szCs w:val="20"/>
                <w:color w:val="auto"/>
              </w:rPr>
            </w:pPr>
            <w:r>
              <w:rPr>
                <w:rFonts w:ascii="Times New Roman" w:cs="Times New Roman" w:eastAsia="Times New Roman" w:hAnsi="Times New Roman"/>
                <w:sz w:val="18"/>
                <w:szCs w:val="18"/>
                <w:b w:val="1"/>
                <w:bCs w:val="1"/>
                <w:color w:val="auto"/>
              </w:rPr>
              <w:t>Abstain</w:t>
            </w:r>
          </w:p>
        </w:tc>
        <w:tc>
          <w:tcPr>
            <w:tcW w:w="1680" w:type="dxa"/>
            <w:vAlign w:val="bottom"/>
            <w:gridSpan w:val="2"/>
          </w:tcPr>
          <w:p>
            <w:pPr>
              <w:ind w:left="100"/>
              <w:spacing w:after="0"/>
              <w:rPr>
                <w:sz w:val="20"/>
                <w:szCs w:val="20"/>
                <w:color w:val="auto"/>
              </w:rPr>
            </w:pPr>
            <w:r>
              <w:rPr>
                <w:rFonts w:ascii="Times New Roman" w:cs="Times New Roman" w:eastAsia="Times New Roman" w:hAnsi="Times New Roman"/>
                <w:sz w:val="18"/>
                <w:szCs w:val="18"/>
                <w:b w:val="1"/>
                <w:bCs w:val="1"/>
                <w:color w:val="auto"/>
              </w:rPr>
              <w:t>Broker Non-Votes</w:t>
            </w:r>
          </w:p>
        </w:tc>
      </w:tr>
      <w:tr>
        <w:trPr>
          <w:trHeight w:val="209"/>
        </w:trPr>
        <w:tc>
          <w:tcPr>
            <w:tcW w:w="406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Andy Chin-An Jin</w:t>
            </w:r>
          </w:p>
        </w:tc>
        <w:tc>
          <w:tcPr>
            <w:tcW w:w="120" w:type="dxa"/>
            <w:vAlign w:val="bottom"/>
            <w:tcBorders>
              <w:top w:val="single" w:sz="8" w:color="CCEEFF"/>
            </w:tcBorders>
            <w:shd w:val="clear" w:color="auto" w:fill="CCEEFF"/>
          </w:tcPr>
          <w:p>
            <w:pPr>
              <w:spacing w:after="0"/>
              <w:rPr>
                <w:sz w:val="18"/>
                <w:szCs w:val="18"/>
                <w:color w:val="auto"/>
              </w:rPr>
            </w:pPr>
          </w:p>
        </w:tc>
        <w:tc>
          <w:tcPr>
            <w:tcW w:w="16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12,551,955</w:t>
            </w: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ind w:left="160"/>
              <w:spacing w:after="0"/>
              <w:rPr>
                <w:sz w:val="20"/>
                <w:szCs w:val="20"/>
                <w:color w:val="auto"/>
              </w:rPr>
            </w:pPr>
            <w:r>
              <w:rPr>
                <w:rFonts w:ascii="Times New Roman" w:cs="Times New Roman" w:eastAsia="Times New Roman" w:hAnsi="Times New Roman"/>
                <w:sz w:val="17"/>
                <w:szCs w:val="17"/>
                <w:color w:val="auto"/>
                <w:w w:val="70"/>
              </w:rPr>
              <w:t>0</w:t>
            </w:r>
          </w:p>
        </w:tc>
        <w:tc>
          <w:tcPr>
            <w:tcW w:w="220" w:type="dxa"/>
            <w:vAlign w:val="bottom"/>
            <w:tcBorders>
              <w:top w:val="single" w:sz="8" w:color="CCEEFF"/>
            </w:tcBorders>
            <w:shd w:val="clear" w:color="auto" w:fill="CCEEFF"/>
          </w:tcPr>
          <w:p>
            <w:pPr>
              <w:spacing w:after="0"/>
              <w:rPr>
                <w:sz w:val="18"/>
                <w:szCs w:val="18"/>
                <w:color w:val="auto"/>
              </w:rPr>
            </w:pPr>
          </w:p>
        </w:tc>
        <w:tc>
          <w:tcPr>
            <w:tcW w:w="1560" w:type="dxa"/>
            <w:vAlign w:val="bottom"/>
            <w:tcBorders>
              <w:top w:val="single" w:sz="8" w:color="auto"/>
            </w:tcBorders>
            <w:shd w:val="clear" w:color="auto" w:fill="CCEEFF"/>
          </w:tcPr>
          <w:p>
            <w:pPr>
              <w:ind w:left="1300"/>
              <w:spacing w:after="0"/>
              <w:rPr>
                <w:sz w:val="20"/>
                <w:szCs w:val="20"/>
                <w:color w:val="auto"/>
              </w:rPr>
            </w:pPr>
            <w:r>
              <w:rPr>
                <w:rFonts w:ascii="Times New Roman" w:cs="Times New Roman" w:eastAsia="Times New Roman" w:hAnsi="Times New Roman"/>
                <w:sz w:val="18"/>
                <w:szCs w:val="18"/>
                <w:color w:val="auto"/>
                <w:w w:val="88"/>
              </w:rPr>
              <w:t>100</w:t>
            </w:r>
          </w:p>
        </w:tc>
        <w:tc>
          <w:tcPr>
            <w:tcW w:w="220" w:type="dxa"/>
            <w:vAlign w:val="bottom"/>
            <w:tcBorders>
              <w:top w:val="single" w:sz="8" w:color="CCEEFF"/>
            </w:tcBorders>
            <w:shd w:val="clear" w:color="auto" w:fill="CCEEFF"/>
          </w:tcPr>
          <w:p>
            <w:pPr>
              <w:spacing w:after="0"/>
              <w:rPr>
                <w:sz w:val="18"/>
                <w:szCs w:val="18"/>
                <w:color w:val="auto"/>
              </w:rPr>
            </w:pPr>
          </w:p>
        </w:tc>
        <w:tc>
          <w:tcPr>
            <w:tcW w:w="15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41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Sean Fislon</w:t>
            </w:r>
          </w:p>
        </w:tc>
        <w:tc>
          <w:tcPr>
            <w:tcW w:w="18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12,551,955</w:t>
            </w:r>
          </w:p>
        </w:tc>
        <w:tc>
          <w:tcPr>
            <w:tcW w:w="1320" w:type="dxa"/>
            <w:vAlign w:val="bottom"/>
          </w:tcPr>
          <w:p>
            <w:pPr>
              <w:spacing w:after="0"/>
              <w:rPr>
                <w:sz w:val="18"/>
                <w:szCs w:val="18"/>
                <w:color w:val="auto"/>
              </w:rPr>
            </w:pPr>
          </w:p>
        </w:tc>
        <w:tc>
          <w:tcPr>
            <w:tcW w:w="460" w:type="dxa"/>
            <w:vAlign w:val="bottom"/>
            <w:gridSpan w:val="2"/>
          </w:tcPr>
          <w:p>
            <w:pPr>
              <w:ind w:left="160"/>
              <w:spacing w:after="0"/>
              <w:rPr>
                <w:sz w:val="20"/>
                <w:szCs w:val="20"/>
                <w:color w:val="auto"/>
              </w:rPr>
            </w:pPr>
            <w:r>
              <w:rPr>
                <w:rFonts w:ascii="Times New Roman" w:cs="Times New Roman" w:eastAsia="Times New Roman" w:hAnsi="Times New Roman"/>
                <w:sz w:val="18"/>
                <w:szCs w:val="18"/>
                <w:color w:val="auto"/>
              </w:rPr>
              <w:t>0</w:t>
            </w:r>
          </w:p>
        </w:tc>
        <w:tc>
          <w:tcPr>
            <w:tcW w:w="1780" w:type="dxa"/>
            <w:vAlign w:val="bottom"/>
            <w:gridSpan w:val="2"/>
          </w:tcPr>
          <w:p>
            <w:pPr>
              <w:ind w:left="1300"/>
              <w:spacing w:after="0"/>
              <w:rPr>
                <w:sz w:val="20"/>
                <w:szCs w:val="20"/>
                <w:color w:val="auto"/>
              </w:rPr>
            </w:pPr>
            <w:r>
              <w:rPr>
                <w:rFonts w:ascii="Times New Roman" w:cs="Times New Roman" w:eastAsia="Times New Roman" w:hAnsi="Times New Roman"/>
                <w:sz w:val="18"/>
                <w:szCs w:val="18"/>
                <w:color w:val="auto"/>
              </w:rPr>
              <w:t>100</w:t>
            </w:r>
          </w:p>
        </w:tc>
        <w:tc>
          <w:tcPr>
            <w:tcW w:w="16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0</w:t>
            </w:r>
          </w:p>
        </w:tc>
      </w:tr>
      <w:tr>
        <w:trPr>
          <w:trHeight w:val="216"/>
        </w:trPr>
        <w:tc>
          <w:tcPr>
            <w:tcW w:w="41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Hui-Ying Zhuang</w:t>
            </w:r>
          </w:p>
        </w:tc>
        <w:tc>
          <w:tcPr>
            <w:tcW w:w="1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12,551,955</w:t>
            </w:r>
          </w:p>
        </w:tc>
        <w:tc>
          <w:tcPr>
            <w:tcW w:w="1320" w:type="dxa"/>
            <w:vAlign w:val="bottom"/>
            <w:shd w:val="clear" w:color="auto" w:fill="CCEEFF"/>
          </w:tcPr>
          <w:p>
            <w:pPr>
              <w:spacing w:after="0"/>
              <w:rPr>
                <w:sz w:val="18"/>
                <w:szCs w:val="18"/>
                <w:color w:val="auto"/>
              </w:rPr>
            </w:pPr>
          </w:p>
        </w:tc>
        <w:tc>
          <w:tcPr>
            <w:tcW w:w="460" w:type="dxa"/>
            <w:vAlign w:val="bottom"/>
            <w:gridSpan w:val="2"/>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0</w:t>
            </w:r>
          </w:p>
        </w:tc>
        <w:tc>
          <w:tcPr>
            <w:tcW w:w="1780" w:type="dxa"/>
            <w:vAlign w:val="bottom"/>
            <w:gridSpan w:val="2"/>
            <w:shd w:val="clear" w:color="auto" w:fill="CCEEFF"/>
          </w:tcPr>
          <w:p>
            <w:pPr>
              <w:ind w:left="1300"/>
              <w:spacing w:after="0"/>
              <w:rPr>
                <w:sz w:val="20"/>
                <w:szCs w:val="20"/>
                <w:color w:val="auto"/>
              </w:rPr>
            </w:pPr>
            <w:r>
              <w:rPr>
                <w:rFonts w:ascii="Times New Roman" w:cs="Times New Roman" w:eastAsia="Times New Roman" w:hAnsi="Times New Roman"/>
                <w:sz w:val="18"/>
                <w:szCs w:val="18"/>
                <w:color w:val="auto"/>
              </w:rPr>
              <w:t>100</w:t>
            </w:r>
          </w:p>
        </w:tc>
        <w:tc>
          <w:tcPr>
            <w:tcW w:w="1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0</w:t>
            </w:r>
          </w:p>
        </w:tc>
      </w:tr>
      <w:tr>
        <w:trPr>
          <w:trHeight w:val="216"/>
        </w:trPr>
        <w:tc>
          <w:tcPr>
            <w:tcW w:w="41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Yiwen Zhang</w:t>
            </w:r>
          </w:p>
        </w:tc>
        <w:tc>
          <w:tcPr>
            <w:tcW w:w="18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12,551,955</w:t>
            </w:r>
          </w:p>
        </w:tc>
        <w:tc>
          <w:tcPr>
            <w:tcW w:w="1320" w:type="dxa"/>
            <w:vAlign w:val="bottom"/>
          </w:tcPr>
          <w:p>
            <w:pPr>
              <w:spacing w:after="0"/>
              <w:rPr>
                <w:sz w:val="18"/>
                <w:szCs w:val="18"/>
                <w:color w:val="auto"/>
              </w:rPr>
            </w:pPr>
          </w:p>
        </w:tc>
        <w:tc>
          <w:tcPr>
            <w:tcW w:w="460" w:type="dxa"/>
            <w:vAlign w:val="bottom"/>
            <w:gridSpan w:val="2"/>
          </w:tcPr>
          <w:p>
            <w:pPr>
              <w:ind w:left="160"/>
              <w:spacing w:after="0"/>
              <w:rPr>
                <w:sz w:val="20"/>
                <w:szCs w:val="20"/>
                <w:color w:val="auto"/>
              </w:rPr>
            </w:pPr>
            <w:r>
              <w:rPr>
                <w:rFonts w:ascii="Times New Roman" w:cs="Times New Roman" w:eastAsia="Times New Roman" w:hAnsi="Times New Roman"/>
                <w:sz w:val="18"/>
                <w:szCs w:val="18"/>
                <w:color w:val="auto"/>
              </w:rPr>
              <w:t>0</w:t>
            </w:r>
          </w:p>
        </w:tc>
        <w:tc>
          <w:tcPr>
            <w:tcW w:w="1780" w:type="dxa"/>
            <w:vAlign w:val="bottom"/>
            <w:gridSpan w:val="2"/>
          </w:tcPr>
          <w:p>
            <w:pPr>
              <w:ind w:left="1300"/>
              <w:spacing w:after="0"/>
              <w:rPr>
                <w:sz w:val="20"/>
                <w:szCs w:val="20"/>
                <w:color w:val="auto"/>
              </w:rPr>
            </w:pPr>
            <w:r>
              <w:rPr>
                <w:rFonts w:ascii="Times New Roman" w:cs="Times New Roman" w:eastAsia="Times New Roman" w:hAnsi="Times New Roman"/>
                <w:sz w:val="18"/>
                <w:szCs w:val="18"/>
                <w:color w:val="auto"/>
              </w:rPr>
              <w:t>100</w:t>
            </w:r>
          </w:p>
        </w:tc>
        <w:tc>
          <w:tcPr>
            <w:tcW w:w="16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0</w:t>
            </w:r>
          </w:p>
        </w:tc>
      </w:tr>
      <w:tr>
        <w:trPr>
          <w:trHeight w:val="216"/>
        </w:trPr>
        <w:tc>
          <w:tcPr>
            <w:tcW w:w="41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Song-Yuan Teng</w:t>
            </w:r>
          </w:p>
        </w:tc>
        <w:tc>
          <w:tcPr>
            <w:tcW w:w="1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12,551,955</w:t>
            </w:r>
          </w:p>
        </w:tc>
        <w:tc>
          <w:tcPr>
            <w:tcW w:w="1320" w:type="dxa"/>
            <w:vAlign w:val="bottom"/>
            <w:shd w:val="clear" w:color="auto" w:fill="CCEEFF"/>
          </w:tcPr>
          <w:p>
            <w:pPr>
              <w:spacing w:after="0"/>
              <w:rPr>
                <w:sz w:val="18"/>
                <w:szCs w:val="18"/>
                <w:color w:val="auto"/>
              </w:rPr>
            </w:pPr>
          </w:p>
        </w:tc>
        <w:tc>
          <w:tcPr>
            <w:tcW w:w="460" w:type="dxa"/>
            <w:vAlign w:val="bottom"/>
            <w:gridSpan w:val="2"/>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0</w:t>
            </w:r>
          </w:p>
        </w:tc>
        <w:tc>
          <w:tcPr>
            <w:tcW w:w="1780" w:type="dxa"/>
            <w:vAlign w:val="bottom"/>
            <w:gridSpan w:val="2"/>
            <w:shd w:val="clear" w:color="auto" w:fill="CCEEFF"/>
          </w:tcPr>
          <w:p>
            <w:pPr>
              <w:ind w:left="1300"/>
              <w:spacing w:after="0"/>
              <w:rPr>
                <w:sz w:val="20"/>
                <w:szCs w:val="20"/>
                <w:color w:val="auto"/>
              </w:rPr>
            </w:pPr>
            <w:r>
              <w:rPr>
                <w:rFonts w:ascii="Times New Roman" w:cs="Times New Roman" w:eastAsia="Times New Roman" w:hAnsi="Times New Roman"/>
                <w:sz w:val="18"/>
                <w:szCs w:val="18"/>
                <w:color w:val="auto"/>
              </w:rPr>
              <w:t>100</w:t>
            </w:r>
          </w:p>
        </w:tc>
        <w:tc>
          <w:tcPr>
            <w:tcW w:w="1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0</w:t>
            </w:r>
          </w:p>
        </w:tc>
      </w:tr>
    </w:tbl>
    <w:p>
      <w:pPr>
        <w:spacing w:after="0" w:line="198"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Because directors are elected by a plurality of the votes cast, votes “against” do not affect the outcome of the election. There were no broker non-votes with respect to the election of directors.</w:t>
      </w:r>
    </w:p>
    <w:p>
      <w:pPr>
        <w:spacing w:after="0" w:line="162" w:lineRule="exact"/>
        <w:rPr>
          <w:sz w:val="20"/>
          <w:szCs w:val="20"/>
          <w:color w:val="auto"/>
        </w:rPr>
      </w:pPr>
    </w:p>
    <w:p>
      <w:pPr>
        <w:ind w:left="660" w:hanging="328"/>
        <w:spacing w:after="0"/>
        <w:tabs>
          <w:tab w:leader="none" w:pos="66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Ratification of Independent Registered Public Accounting Firm:</w:t>
      </w:r>
    </w:p>
    <w:p>
      <w:pPr>
        <w:spacing w:after="0" w:line="225"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Stockholders voted on a proposal to ratify the appointment of Enrome LLP as the Company’s independent registered public accounting firm for the fiscal year ending December 31, 2025.</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840" w:type="dxa"/>
            <w:vAlign w:val="bottom"/>
            <w:gridSpan w:val="2"/>
          </w:tcPr>
          <w:p>
            <w:pPr>
              <w:ind w:left="1440"/>
              <w:spacing w:after="0"/>
              <w:rPr>
                <w:sz w:val="20"/>
                <w:szCs w:val="20"/>
                <w:color w:val="auto"/>
              </w:rPr>
            </w:pPr>
            <w:r>
              <w:rPr>
                <w:rFonts w:ascii="Times New Roman" w:cs="Times New Roman" w:eastAsia="Times New Roman" w:hAnsi="Times New Roman"/>
                <w:sz w:val="18"/>
                <w:szCs w:val="18"/>
                <w:b w:val="1"/>
                <w:bCs w:val="1"/>
                <w:color w:val="auto"/>
              </w:rPr>
              <w:t>Votes For</w:t>
            </w:r>
          </w:p>
        </w:tc>
        <w:tc>
          <w:tcPr>
            <w:tcW w:w="3800" w:type="dxa"/>
            <w:vAlign w:val="bottom"/>
            <w:gridSpan w:val="2"/>
          </w:tcPr>
          <w:p>
            <w:pPr>
              <w:ind w:left="1280"/>
              <w:spacing w:after="0"/>
              <w:rPr>
                <w:sz w:val="20"/>
                <w:szCs w:val="20"/>
                <w:color w:val="auto"/>
              </w:rPr>
            </w:pPr>
            <w:r>
              <w:rPr>
                <w:rFonts w:ascii="Times New Roman" w:cs="Times New Roman" w:eastAsia="Times New Roman" w:hAnsi="Times New Roman"/>
                <w:sz w:val="18"/>
                <w:szCs w:val="18"/>
                <w:b w:val="1"/>
                <w:bCs w:val="1"/>
                <w:color w:val="auto"/>
              </w:rPr>
              <w:t>Votes Against</w:t>
            </w:r>
          </w:p>
        </w:tc>
        <w:tc>
          <w:tcPr>
            <w:tcW w:w="3600" w:type="dxa"/>
            <w:vAlign w:val="bottom"/>
          </w:tcPr>
          <w:p>
            <w:pPr>
              <w:jc w:val="right"/>
              <w:ind w:right="1250"/>
              <w:spacing w:after="0"/>
              <w:rPr>
                <w:sz w:val="20"/>
                <w:szCs w:val="20"/>
                <w:color w:val="auto"/>
              </w:rPr>
            </w:pPr>
            <w:r>
              <w:rPr>
                <w:rFonts w:ascii="Times New Roman" w:cs="Times New Roman" w:eastAsia="Times New Roman" w:hAnsi="Times New Roman"/>
                <w:sz w:val="18"/>
                <w:szCs w:val="18"/>
                <w:b w:val="1"/>
                <w:bCs w:val="1"/>
                <w:color w:val="auto"/>
              </w:rPr>
              <w:t>Abstentions</w:t>
            </w:r>
          </w:p>
        </w:tc>
      </w:tr>
      <w:tr>
        <w:trPr>
          <w:trHeight w:val="209"/>
        </w:trPr>
        <w:tc>
          <w:tcPr>
            <w:tcW w:w="36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12,551,955</w:t>
            </w:r>
          </w:p>
        </w:tc>
        <w:tc>
          <w:tcPr>
            <w:tcW w:w="220" w:type="dxa"/>
            <w:vAlign w:val="bottom"/>
            <w:tcBorders>
              <w:top w:val="single" w:sz="8" w:color="CCEEFF"/>
            </w:tcBorders>
            <w:shd w:val="clear" w:color="auto" w:fill="CCEEFF"/>
          </w:tcPr>
          <w:p>
            <w:pPr>
              <w:spacing w:after="0"/>
              <w:rPr>
                <w:sz w:val="18"/>
                <w:szCs w:val="18"/>
                <w:color w:val="auto"/>
              </w:rPr>
            </w:pPr>
          </w:p>
        </w:tc>
        <w:tc>
          <w:tcPr>
            <w:tcW w:w="36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100</w:t>
            </w:r>
          </w:p>
        </w:tc>
        <w:tc>
          <w:tcPr>
            <w:tcW w:w="200" w:type="dxa"/>
            <w:vAlign w:val="bottom"/>
            <w:tcBorders>
              <w:top w:val="single" w:sz="8" w:color="CCEEFF"/>
            </w:tcBorders>
            <w:shd w:val="clear" w:color="auto" w:fill="CCEEFF"/>
          </w:tcPr>
          <w:p>
            <w:pPr>
              <w:spacing w:after="0"/>
              <w:rPr>
                <w:sz w:val="18"/>
                <w:szCs w:val="18"/>
                <w:color w:val="auto"/>
              </w:rPr>
            </w:pPr>
          </w:p>
        </w:tc>
        <w:tc>
          <w:tcPr>
            <w:tcW w:w="36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r>
      <w:tr>
        <w:trPr>
          <w:trHeight w:val="432"/>
        </w:trPr>
        <w:tc>
          <w:tcPr>
            <w:tcW w:w="38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The proposal was approved.</w:t>
            </w:r>
          </w:p>
        </w:tc>
        <w:tc>
          <w:tcPr>
            <w:tcW w:w="36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600" w:type="dxa"/>
            <w:vAlign w:val="bottom"/>
          </w:tcPr>
          <w:p>
            <w:pPr>
              <w:spacing w:after="0"/>
              <w:rPr>
                <w:sz w:val="24"/>
                <w:szCs w:val="24"/>
                <w:color w:val="auto"/>
              </w:rPr>
            </w:pPr>
          </w:p>
        </w:tc>
      </w:tr>
    </w:tbl>
    <w:p>
      <w:pPr>
        <w:spacing w:after="0" w:line="198" w:lineRule="exact"/>
        <w:rPr>
          <w:sz w:val="20"/>
          <w:szCs w:val="20"/>
          <w:color w:val="auto"/>
        </w:rPr>
      </w:pPr>
    </w:p>
    <w:p>
      <w:pPr>
        <w:ind w:left="660" w:hanging="328"/>
        <w:spacing w:after="0"/>
        <w:tabs>
          <w:tab w:leader="none" w:pos="66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Approval of Series B Convertible Preferred Stock Issuance (Nasdaq Listing Rule 5635(d)):</w:t>
      </w:r>
    </w:p>
    <w:p>
      <w:pPr>
        <w:spacing w:after="0" w:line="22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Stockholders voted on a proposal, for purposes of complying with Nasdaq Listing Rule 5635(d), to approve the potential issuance of shares of the Company’s common stock upon conversion of the Company’s Series B Convertible Non-Voting Preferred Stock in excess of 19.99% of the Company’s issued and outstanding shares of common stock at a price that may be less than the Nasdaq Minimum Price, as defined in Nasdaq Listing Rule 5635(d).</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 w:name="page3"/>
    <w:bookmarkEnd w:id="2"/>
    <w:tbl>
      <w:tblPr>
        <w:tblLayout w:type="fixed"/>
        <w:tblInd w:w="0" w:type="dxa"/>
        <w:tblCellMar>
          <w:top w:w="0" w:type="dxa"/>
          <w:left w:w="0" w:type="dxa"/>
          <w:bottom w:w="0" w:type="dxa"/>
          <w:right w:w="0" w:type="dxa"/>
        </w:tblCellMar>
      </w:tblPr>
      <w:tr>
        <w:trPr>
          <w:trHeight w:val="238"/>
        </w:trPr>
        <w:tc>
          <w:tcPr>
            <w:tcW w:w="3840" w:type="dxa"/>
            <w:vAlign w:val="bottom"/>
            <w:gridSpan w:val="2"/>
          </w:tcPr>
          <w:p>
            <w:pPr>
              <w:ind w:left="1440"/>
              <w:spacing w:after="0"/>
              <w:rPr>
                <w:sz w:val="20"/>
                <w:szCs w:val="20"/>
                <w:color w:val="auto"/>
              </w:rPr>
            </w:pPr>
            <w:r>
              <w:rPr>
                <w:rFonts w:ascii="Times New Roman" w:cs="Times New Roman" w:eastAsia="Times New Roman" w:hAnsi="Times New Roman"/>
                <w:sz w:val="18"/>
                <w:szCs w:val="18"/>
                <w:b w:val="1"/>
                <w:bCs w:val="1"/>
                <w:color w:val="auto"/>
              </w:rPr>
              <w:t>Votes For</w:t>
            </w:r>
          </w:p>
        </w:tc>
        <w:tc>
          <w:tcPr>
            <w:tcW w:w="3800" w:type="dxa"/>
            <w:vAlign w:val="bottom"/>
            <w:gridSpan w:val="2"/>
          </w:tcPr>
          <w:p>
            <w:pPr>
              <w:ind w:left="1280"/>
              <w:spacing w:after="0"/>
              <w:rPr>
                <w:sz w:val="20"/>
                <w:szCs w:val="20"/>
                <w:color w:val="auto"/>
              </w:rPr>
            </w:pPr>
            <w:r>
              <w:rPr>
                <w:rFonts w:ascii="Times New Roman" w:cs="Times New Roman" w:eastAsia="Times New Roman" w:hAnsi="Times New Roman"/>
                <w:sz w:val="18"/>
                <w:szCs w:val="18"/>
                <w:b w:val="1"/>
                <w:bCs w:val="1"/>
                <w:color w:val="auto"/>
              </w:rPr>
              <w:t>Votes Against</w:t>
            </w:r>
          </w:p>
        </w:tc>
        <w:tc>
          <w:tcPr>
            <w:tcW w:w="3600" w:type="dxa"/>
            <w:vAlign w:val="bottom"/>
          </w:tcPr>
          <w:p>
            <w:pPr>
              <w:jc w:val="right"/>
              <w:ind w:right="1250"/>
              <w:spacing w:after="0"/>
              <w:rPr>
                <w:sz w:val="20"/>
                <w:szCs w:val="20"/>
                <w:color w:val="auto"/>
              </w:rPr>
            </w:pPr>
            <w:r>
              <w:rPr>
                <w:rFonts w:ascii="Times New Roman" w:cs="Times New Roman" w:eastAsia="Times New Roman" w:hAnsi="Times New Roman"/>
                <w:sz w:val="18"/>
                <w:szCs w:val="18"/>
                <w:b w:val="1"/>
                <w:bCs w:val="1"/>
                <w:color w:val="auto"/>
              </w:rPr>
              <w:t>Abstentions</w:t>
            </w:r>
          </w:p>
        </w:tc>
      </w:tr>
      <w:tr>
        <w:trPr>
          <w:trHeight w:val="209"/>
        </w:trPr>
        <w:tc>
          <w:tcPr>
            <w:tcW w:w="36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12,551,755</w:t>
            </w:r>
          </w:p>
        </w:tc>
        <w:tc>
          <w:tcPr>
            <w:tcW w:w="220" w:type="dxa"/>
            <w:vAlign w:val="bottom"/>
            <w:tcBorders>
              <w:top w:val="single" w:sz="8" w:color="CCEEFF"/>
            </w:tcBorders>
            <w:shd w:val="clear" w:color="auto" w:fill="CCEEFF"/>
          </w:tcPr>
          <w:p>
            <w:pPr>
              <w:spacing w:after="0"/>
              <w:rPr>
                <w:sz w:val="18"/>
                <w:szCs w:val="18"/>
                <w:color w:val="auto"/>
              </w:rPr>
            </w:pPr>
          </w:p>
        </w:tc>
        <w:tc>
          <w:tcPr>
            <w:tcW w:w="36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300</w:t>
            </w:r>
          </w:p>
        </w:tc>
        <w:tc>
          <w:tcPr>
            <w:tcW w:w="200" w:type="dxa"/>
            <w:vAlign w:val="bottom"/>
            <w:tcBorders>
              <w:top w:val="single" w:sz="8" w:color="CCEEFF"/>
            </w:tcBorders>
            <w:shd w:val="clear" w:color="auto" w:fill="CCEEFF"/>
          </w:tcPr>
          <w:p>
            <w:pPr>
              <w:spacing w:after="0"/>
              <w:rPr>
                <w:sz w:val="18"/>
                <w:szCs w:val="18"/>
                <w:color w:val="auto"/>
              </w:rPr>
            </w:pPr>
          </w:p>
        </w:tc>
        <w:tc>
          <w:tcPr>
            <w:tcW w:w="36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r>
      <w:tr>
        <w:trPr>
          <w:trHeight w:val="432"/>
        </w:trPr>
        <w:tc>
          <w:tcPr>
            <w:tcW w:w="38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The proposal was approved.</w:t>
            </w:r>
          </w:p>
        </w:tc>
        <w:tc>
          <w:tcPr>
            <w:tcW w:w="36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600" w:type="dxa"/>
            <w:vAlign w:val="bottom"/>
          </w:tcPr>
          <w:p>
            <w:pPr>
              <w:spacing w:after="0"/>
              <w:rPr>
                <w:sz w:val="24"/>
                <w:szCs w:val="24"/>
                <w:color w:val="auto"/>
              </w:rPr>
            </w:pPr>
          </w:p>
        </w:tc>
      </w:tr>
    </w:tbl>
    <w:p>
      <w:pPr>
        <w:spacing w:after="0" w:line="198" w:lineRule="exact"/>
        <w:rPr>
          <w:sz w:val="20"/>
          <w:szCs w:val="20"/>
          <w:color w:val="auto"/>
        </w:rPr>
      </w:pPr>
    </w:p>
    <w:p>
      <w:pPr>
        <w:ind w:left="660" w:hanging="328"/>
        <w:spacing w:after="0"/>
        <w:tabs>
          <w:tab w:leader="none" w:pos="66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Approval of Reverse Stock Split Amendment:</w:t>
      </w:r>
    </w:p>
    <w:p>
      <w:pPr>
        <w:spacing w:after="0" w:line="22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Stockholders voted on a proposal to approve an amendment to the Company’s Amended and Restated Articles of Incorporation to effect a reverse stock split of the Company’s issued and outstanding common stock at any time over the next year at a ratio in a range of not less than one-for-five (1:5) and not greater than one-for-one-hundred (1:100), with the final effective date and ratio to be determined by the Board in its discretion.</w:t>
      </w:r>
    </w:p>
    <w:p>
      <w:pPr>
        <w:spacing w:after="0" w:line="172"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660" w:type="dxa"/>
            <w:vAlign w:val="bottom"/>
          </w:tcPr>
          <w:p>
            <w:pPr>
              <w:spacing w:after="0"/>
              <w:rPr>
                <w:sz w:val="20"/>
                <w:szCs w:val="20"/>
                <w:color w:val="auto"/>
              </w:rPr>
            </w:pPr>
          </w:p>
        </w:tc>
        <w:tc>
          <w:tcPr>
            <w:tcW w:w="3180" w:type="dxa"/>
            <w:vAlign w:val="bottom"/>
            <w:gridSpan w:val="3"/>
          </w:tcPr>
          <w:p>
            <w:pPr>
              <w:ind w:left="780"/>
              <w:spacing w:after="0"/>
              <w:rPr>
                <w:sz w:val="20"/>
                <w:szCs w:val="20"/>
                <w:color w:val="auto"/>
              </w:rPr>
            </w:pPr>
            <w:r>
              <w:rPr>
                <w:rFonts w:ascii="Times New Roman" w:cs="Times New Roman" w:eastAsia="Times New Roman" w:hAnsi="Times New Roman"/>
                <w:sz w:val="18"/>
                <w:szCs w:val="18"/>
                <w:b w:val="1"/>
                <w:bCs w:val="1"/>
                <w:color w:val="auto"/>
              </w:rPr>
              <w:t>Votes For</w:t>
            </w:r>
          </w:p>
        </w:tc>
        <w:tc>
          <w:tcPr>
            <w:tcW w:w="3800" w:type="dxa"/>
            <w:vAlign w:val="bottom"/>
            <w:gridSpan w:val="2"/>
          </w:tcPr>
          <w:p>
            <w:pPr>
              <w:ind w:left="1280"/>
              <w:spacing w:after="0"/>
              <w:rPr>
                <w:sz w:val="20"/>
                <w:szCs w:val="20"/>
                <w:color w:val="auto"/>
              </w:rPr>
            </w:pPr>
            <w:r>
              <w:rPr>
                <w:rFonts w:ascii="Times New Roman" w:cs="Times New Roman" w:eastAsia="Times New Roman" w:hAnsi="Times New Roman"/>
                <w:sz w:val="18"/>
                <w:szCs w:val="18"/>
                <w:b w:val="1"/>
                <w:bCs w:val="1"/>
                <w:color w:val="auto"/>
              </w:rPr>
              <w:t>Votes Against</w:t>
            </w:r>
          </w:p>
        </w:tc>
        <w:tc>
          <w:tcPr>
            <w:tcW w:w="3600" w:type="dxa"/>
            <w:vAlign w:val="bottom"/>
          </w:tcPr>
          <w:p>
            <w:pPr>
              <w:jc w:val="right"/>
              <w:ind w:right="1250"/>
              <w:spacing w:after="0"/>
              <w:rPr>
                <w:sz w:val="20"/>
                <w:szCs w:val="20"/>
                <w:color w:val="auto"/>
              </w:rPr>
            </w:pPr>
            <w:r>
              <w:rPr>
                <w:rFonts w:ascii="Times New Roman" w:cs="Times New Roman" w:eastAsia="Times New Roman" w:hAnsi="Times New Roman"/>
                <w:sz w:val="18"/>
                <w:szCs w:val="18"/>
                <w:b w:val="1"/>
                <w:bCs w:val="1"/>
                <w:color w:val="auto"/>
              </w:rPr>
              <w:t>Abstentions</w:t>
            </w:r>
          </w:p>
        </w:tc>
      </w:tr>
      <w:tr>
        <w:trPr>
          <w:trHeight w:val="209"/>
        </w:trPr>
        <w:tc>
          <w:tcPr>
            <w:tcW w:w="3620" w:type="dxa"/>
            <w:vAlign w:val="bottom"/>
            <w:tcBorders>
              <w:top w:val="single" w:sz="8" w:color="auto"/>
            </w:tcBorders>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12,551,753</w:t>
            </w:r>
          </w:p>
        </w:tc>
        <w:tc>
          <w:tcPr>
            <w:tcW w:w="220" w:type="dxa"/>
            <w:vAlign w:val="bottom"/>
            <w:tcBorders>
              <w:top w:val="single" w:sz="8" w:color="CCEEFF"/>
            </w:tcBorders>
            <w:shd w:val="clear" w:color="auto" w:fill="CCEEFF"/>
          </w:tcPr>
          <w:p>
            <w:pPr>
              <w:spacing w:after="0"/>
              <w:rPr>
                <w:sz w:val="18"/>
                <w:szCs w:val="18"/>
                <w:color w:val="auto"/>
              </w:rPr>
            </w:pPr>
          </w:p>
        </w:tc>
        <w:tc>
          <w:tcPr>
            <w:tcW w:w="36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302</w:t>
            </w:r>
          </w:p>
        </w:tc>
        <w:tc>
          <w:tcPr>
            <w:tcW w:w="200" w:type="dxa"/>
            <w:vAlign w:val="bottom"/>
            <w:tcBorders>
              <w:top w:val="single" w:sz="8" w:color="CCEEFF"/>
            </w:tcBorders>
            <w:shd w:val="clear" w:color="auto" w:fill="CCEEFF"/>
          </w:tcPr>
          <w:p>
            <w:pPr>
              <w:spacing w:after="0"/>
              <w:rPr>
                <w:sz w:val="18"/>
                <w:szCs w:val="18"/>
                <w:color w:val="auto"/>
              </w:rPr>
            </w:pPr>
          </w:p>
        </w:tc>
        <w:tc>
          <w:tcPr>
            <w:tcW w:w="36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r>
      <w:tr>
        <w:trPr>
          <w:trHeight w:val="432"/>
        </w:trPr>
        <w:tc>
          <w:tcPr>
            <w:tcW w:w="384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The proposal was approved.</w:t>
            </w:r>
          </w:p>
        </w:tc>
        <w:tc>
          <w:tcPr>
            <w:tcW w:w="36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600" w:type="dxa"/>
            <w:vAlign w:val="bottom"/>
          </w:tcPr>
          <w:p>
            <w:pPr>
              <w:spacing w:after="0"/>
              <w:rPr>
                <w:sz w:val="24"/>
                <w:szCs w:val="24"/>
                <w:color w:val="auto"/>
              </w:rPr>
            </w:pPr>
          </w:p>
        </w:tc>
      </w:tr>
      <w:tr>
        <w:trPr>
          <w:trHeight w:val="391"/>
        </w:trPr>
        <w:tc>
          <w:tcPr>
            <w:tcW w:w="3840" w:type="dxa"/>
            <w:vAlign w:val="bottom"/>
            <w:gridSpan w:val="4"/>
          </w:tcPr>
          <w:p>
            <w:pPr>
              <w:ind w:left="340"/>
              <w:spacing w:after="0"/>
              <w:rPr>
                <w:sz w:val="20"/>
                <w:szCs w:val="20"/>
                <w:color w:val="auto"/>
              </w:rPr>
            </w:pPr>
            <w:r>
              <w:rPr>
                <w:rFonts w:ascii="Times New Roman" w:cs="Times New Roman" w:eastAsia="Times New Roman" w:hAnsi="Times New Roman"/>
                <w:sz w:val="18"/>
                <w:szCs w:val="18"/>
                <w:color w:val="auto"/>
              </w:rPr>
              <w:t>5.  Approval of Authorized Share Increase:</w:t>
            </w:r>
          </w:p>
        </w:tc>
        <w:tc>
          <w:tcPr>
            <w:tcW w:w="36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600" w:type="dxa"/>
            <w:vAlign w:val="bottom"/>
          </w:tcPr>
          <w:p>
            <w:pPr>
              <w:spacing w:after="0"/>
              <w:rPr>
                <w:sz w:val="24"/>
                <w:szCs w:val="24"/>
                <w:color w:val="auto"/>
              </w:rPr>
            </w:pPr>
          </w:p>
        </w:tc>
      </w:tr>
      <w:tr>
        <w:trPr>
          <w:trHeight w:val="20"/>
        </w:trPr>
        <w:tc>
          <w:tcPr>
            <w:tcW w:w="660" w:type="dxa"/>
            <w:vAlign w:val="bottom"/>
          </w:tcPr>
          <w:p>
            <w:pPr>
              <w:spacing w:after="0" w:line="20" w:lineRule="exact"/>
              <w:rPr>
                <w:sz w:val="1"/>
                <w:szCs w:val="1"/>
                <w:color w:val="auto"/>
              </w:rPr>
            </w:pPr>
          </w:p>
        </w:tc>
        <w:tc>
          <w:tcPr>
            <w:tcW w:w="288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6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600" w:type="dxa"/>
            <w:vAlign w:val="bottom"/>
          </w:tcPr>
          <w:p>
            <w:pPr>
              <w:spacing w:after="0" w:line="20" w:lineRule="exact"/>
              <w:rPr>
                <w:sz w:val="1"/>
                <w:szCs w:val="1"/>
                <w:color w:val="auto"/>
              </w:rPr>
            </w:pPr>
          </w:p>
        </w:tc>
      </w:tr>
    </w:tbl>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Stockholders voted on a proposal to approve an amendment to the Company’s Amended and Restated Articles of Incorporation to increase the number of authorized shares of common stock from 200,000,000 to 2,000,000,000.</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840" w:type="dxa"/>
            <w:vAlign w:val="bottom"/>
            <w:gridSpan w:val="2"/>
          </w:tcPr>
          <w:p>
            <w:pPr>
              <w:ind w:left="1440"/>
              <w:spacing w:after="0"/>
              <w:rPr>
                <w:sz w:val="20"/>
                <w:szCs w:val="20"/>
                <w:color w:val="auto"/>
              </w:rPr>
            </w:pPr>
            <w:r>
              <w:rPr>
                <w:rFonts w:ascii="Times New Roman" w:cs="Times New Roman" w:eastAsia="Times New Roman" w:hAnsi="Times New Roman"/>
                <w:sz w:val="18"/>
                <w:szCs w:val="18"/>
                <w:b w:val="1"/>
                <w:bCs w:val="1"/>
                <w:color w:val="auto"/>
              </w:rPr>
              <w:t>Votes For</w:t>
            </w:r>
          </w:p>
        </w:tc>
        <w:tc>
          <w:tcPr>
            <w:tcW w:w="3800" w:type="dxa"/>
            <w:vAlign w:val="bottom"/>
            <w:gridSpan w:val="2"/>
          </w:tcPr>
          <w:p>
            <w:pPr>
              <w:ind w:left="1280"/>
              <w:spacing w:after="0"/>
              <w:rPr>
                <w:sz w:val="20"/>
                <w:szCs w:val="20"/>
                <w:color w:val="auto"/>
              </w:rPr>
            </w:pPr>
            <w:r>
              <w:rPr>
                <w:rFonts w:ascii="Times New Roman" w:cs="Times New Roman" w:eastAsia="Times New Roman" w:hAnsi="Times New Roman"/>
                <w:sz w:val="18"/>
                <w:szCs w:val="18"/>
                <w:b w:val="1"/>
                <w:bCs w:val="1"/>
                <w:color w:val="auto"/>
              </w:rPr>
              <w:t>Votes Against</w:t>
            </w:r>
          </w:p>
        </w:tc>
        <w:tc>
          <w:tcPr>
            <w:tcW w:w="3600" w:type="dxa"/>
            <w:vAlign w:val="bottom"/>
          </w:tcPr>
          <w:p>
            <w:pPr>
              <w:jc w:val="right"/>
              <w:ind w:right="1250"/>
              <w:spacing w:after="0"/>
              <w:rPr>
                <w:sz w:val="20"/>
                <w:szCs w:val="20"/>
                <w:color w:val="auto"/>
              </w:rPr>
            </w:pPr>
            <w:r>
              <w:rPr>
                <w:rFonts w:ascii="Times New Roman" w:cs="Times New Roman" w:eastAsia="Times New Roman" w:hAnsi="Times New Roman"/>
                <w:sz w:val="18"/>
                <w:szCs w:val="18"/>
                <w:b w:val="1"/>
                <w:bCs w:val="1"/>
                <w:color w:val="auto"/>
              </w:rPr>
              <w:t>Abstentions</w:t>
            </w:r>
          </w:p>
        </w:tc>
      </w:tr>
      <w:tr>
        <w:trPr>
          <w:trHeight w:val="209"/>
        </w:trPr>
        <w:tc>
          <w:tcPr>
            <w:tcW w:w="36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12,551,955</w:t>
            </w:r>
          </w:p>
        </w:tc>
        <w:tc>
          <w:tcPr>
            <w:tcW w:w="220" w:type="dxa"/>
            <w:vAlign w:val="bottom"/>
            <w:tcBorders>
              <w:top w:val="single" w:sz="8" w:color="CCEEFF"/>
            </w:tcBorders>
            <w:shd w:val="clear" w:color="auto" w:fill="CCEEFF"/>
          </w:tcPr>
          <w:p>
            <w:pPr>
              <w:spacing w:after="0"/>
              <w:rPr>
                <w:sz w:val="18"/>
                <w:szCs w:val="18"/>
                <w:color w:val="auto"/>
              </w:rPr>
            </w:pPr>
          </w:p>
        </w:tc>
        <w:tc>
          <w:tcPr>
            <w:tcW w:w="36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100</w:t>
            </w:r>
          </w:p>
        </w:tc>
        <w:tc>
          <w:tcPr>
            <w:tcW w:w="200" w:type="dxa"/>
            <w:vAlign w:val="bottom"/>
            <w:tcBorders>
              <w:top w:val="single" w:sz="8" w:color="CCEEFF"/>
            </w:tcBorders>
            <w:shd w:val="clear" w:color="auto" w:fill="CCEEFF"/>
          </w:tcPr>
          <w:p>
            <w:pPr>
              <w:spacing w:after="0"/>
              <w:rPr>
                <w:sz w:val="18"/>
                <w:szCs w:val="18"/>
                <w:color w:val="auto"/>
              </w:rPr>
            </w:pPr>
          </w:p>
        </w:tc>
        <w:tc>
          <w:tcPr>
            <w:tcW w:w="36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r>
      <w:tr>
        <w:trPr>
          <w:trHeight w:val="432"/>
        </w:trPr>
        <w:tc>
          <w:tcPr>
            <w:tcW w:w="38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The proposal was approved.</w:t>
            </w:r>
          </w:p>
        </w:tc>
        <w:tc>
          <w:tcPr>
            <w:tcW w:w="36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600" w:type="dxa"/>
            <w:vAlign w:val="bottom"/>
          </w:tcPr>
          <w:p>
            <w:pPr>
              <w:spacing w:after="0"/>
              <w:rPr>
                <w:sz w:val="24"/>
                <w:szCs w:val="24"/>
                <w:color w:val="auto"/>
              </w:rPr>
            </w:pPr>
          </w:p>
        </w:tc>
      </w:tr>
    </w:tbl>
    <w:p>
      <w:pPr>
        <w:spacing w:after="0" w:line="198" w:lineRule="exact"/>
        <w:rPr>
          <w:sz w:val="20"/>
          <w:szCs w:val="20"/>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Approval of Convertible Note Issuance (Nasdaq Listing Rule 5635(d)):</w:t>
      </w:r>
    </w:p>
    <w:p>
      <w:pPr>
        <w:spacing w:after="0" w:line="22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Stockholders voted on a proposal, for purposes of complying with Nasdaq Listing Rule 5635(d), to approve the potential issuance of shares of the Company’s common stock upon conversion of the senior secured convertible notes issued and issuable pursuant to that certain Securities Purchase Agreement, dated as of October 31, 2025, in excess of 19.99% of the Company’s issued and outstanding shares of common stock at a price that may be less than the Nasdaq Minimum Price, as defined in Nasdaq Listing Rule 5635(d).</w:t>
      </w: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840" w:type="dxa"/>
            <w:vAlign w:val="bottom"/>
            <w:gridSpan w:val="2"/>
          </w:tcPr>
          <w:p>
            <w:pPr>
              <w:ind w:left="1440"/>
              <w:spacing w:after="0"/>
              <w:rPr>
                <w:sz w:val="20"/>
                <w:szCs w:val="20"/>
                <w:color w:val="auto"/>
              </w:rPr>
            </w:pPr>
            <w:r>
              <w:rPr>
                <w:rFonts w:ascii="Times New Roman" w:cs="Times New Roman" w:eastAsia="Times New Roman" w:hAnsi="Times New Roman"/>
                <w:sz w:val="18"/>
                <w:szCs w:val="18"/>
                <w:b w:val="1"/>
                <w:bCs w:val="1"/>
                <w:color w:val="auto"/>
              </w:rPr>
              <w:t>Votes For</w:t>
            </w:r>
          </w:p>
        </w:tc>
        <w:tc>
          <w:tcPr>
            <w:tcW w:w="3800" w:type="dxa"/>
            <w:vAlign w:val="bottom"/>
            <w:gridSpan w:val="2"/>
          </w:tcPr>
          <w:p>
            <w:pPr>
              <w:ind w:left="1280"/>
              <w:spacing w:after="0"/>
              <w:rPr>
                <w:sz w:val="20"/>
                <w:szCs w:val="20"/>
                <w:color w:val="auto"/>
              </w:rPr>
            </w:pPr>
            <w:r>
              <w:rPr>
                <w:rFonts w:ascii="Times New Roman" w:cs="Times New Roman" w:eastAsia="Times New Roman" w:hAnsi="Times New Roman"/>
                <w:sz w:val="18"/>
                <w:szCs w:val="18"/>
                <w:b w:val="1"/>
                <w:bCs w:val="1"/>
                <w:color w:val="auto"/>
              </w:rPr>
              <w:t>Votes Against</w:t>
            </w:r>
          </w:p>
        </w:tc>
        <w:tc>
          <w:tcPr>
            <w:tcW w:w="3600" w:type="dxa"/>
            <w:vAlign w:val="bottom"/>
          </w:tcPr>
          <w:p>
            <w:pPr>
              <w:jc w:val="right"/>
              <w:ind w:right="1250"/>
              <w:spacing w:after="0"/>
              <w:rPr>
                <w:sz w:val="20"/>
                <w:szCs w:val="20"/>
                <w:color w:val="auto"/>
              </w:rPr>
            </w:pPr>
            <w:r>
              <w:rPr>
                <w:rFonts w:ascii="Times New Roman" w:cs="Times New Roman" w:eastAsia="Times New Roman" w:hAnsi="Times New Roman"/>
                <w:sz w:val="18"/>
                <w:szCs w:val="18"/>
                <w:b w:val="1"/>
                <w:bCs w:val="1"/>
                <w:color w:val="auto"/>
              </w:rPr>
              <w:t>Abstentions</w:t>
            </w:r>
          </w:p>
        </w:tc>
      </w:tr>
      <w:tr>
        <w:trPr>
          <w:trHeight w:val="210"/>
        </w:trPr>
        <w:tc>
          <w:tcPr>
            <w:tcW w:w="36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12,551,955</w:t>
            </w:r>
          </w:p>
        </w:tc>
        <w:tc>
          <w:tcPr>
            <w:tcW w:w="220" w:type="dxa"/>
            <w:vAlign w:val="bottom"/>
            <w:tcBorders>
              <w:top w:val="single" w:sz="8" w:color="CCEEFF"/>
            </w:tcBorders>
            <w:shd w:val="clear" w:color="auto" w:fill="CCEEFF"/>
          </w:tcPr>
          <w:p>
            <w:pPr>
              <w:spacing w:after="0"/>
              <w:rPr>
                <w:sz w:val="18"/>
                <w:szCs w:val="18"/>
                <w:color w:val="auto"/>
              </w:rPr>
            </w:pPr>
          </w:p>
        </w:tc>
        <w:tc>
          <w:tcPr>
            <w:tcW w:w="36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100</w:t>
            </w:r>
          </w:p>
        </w:tc>
        <w:tc>
          <w:tcPr>
            <w:tcW w:w="200" w:type="dxa"/>
            <w:vAlign w:val="bottom"/>
            <w:tcBorders>
              <w:top w:val="single" w:sz="8" w:color="CCEEFF"/>
            </w:tcBorders>
            <w:shd w:val="clear" w:color="auto" w:fill="CCEEFF"/>
          </w:tcPr>
          <w:p>
            <w:pPr>
              <w:spacing w:after="0"/>
              <w:rPr>
                <w:sz w:val="18"/>
                <w:szCs w:val="18"/>
                <w:color w:val="auto"/>
              </w:rPr>
            </w:pPr>
          </w:p>
        </w:tc>
        <w:tc>
          <w:tcPr>
            <w:tcW w:w="36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r>
      <w:tr>
        <w:trPr>
          <w:trHeight w:val="432"/>
        </w:trPr>
        <w:tc>
          <w:tcPr>
            <w:tcW w:w="38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The proposal was approved.</w:t>
            </w:r>
          </w:p>
        </w:tc>
        <w:tc>
          <w:tcPr>
            <w:tcW w:w="36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600" w:type="dxa"/>
            <w:vAlign w:val="bottom"/>
          </w:tcPr>
          <w:p>
            <w:pPr>
              <w:spacing w:after="0"/>
              <w:rPr>
                <w:sz w:val="24"/>
                <w:szCs w:val="24"/>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 w:name="page4"/>
    <w:bookmarkEnd w:id="3"/>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9"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hereunto duly authorized.</w:t>
      </w:r>
    </w:p>
    <w:p>
      <w:pPr>
        <w:spacing w:after="0" w:line="374"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660" w:type="dxa"/>
            <w:vAlign w:val="bottom"/>
          </w:tcPr>
          <w:p>
            <w:pPr>
              <w:spacing w:after="0"/>
              <w:rPr>
                <w:sz w:val="20"/>
                <w:szCs w:val="20"/>
                <w:color w:val="auto"/>
              </w:rPr>
            </w:pPr>
          </w:p>
        </w:tc>
        <w:tc>
          <w:tcPr>
            <w:tcW w:w="4120" w:type="dxa"/>
            <w:vAlign w:val="bottom"/>
            <w:gridSpan w:val="3"/>
          </w:tcPr>
          <w:p>
            <w:pPr>
              <w:ind w:left="1960"/>
              <w:spacing w:after="0"/>
              <w:rPr>
                <w:sz w:val="20"/>
                <w:szCs w:val="20"/>
                <w:color w:val="auto"/>
              </w:rPr>
            </w:pPr>
            <w:r>
              <w:rPr>
                <w:rFonts w:ascii="Times New Roman" w:cs="Times New Roman" w:eastAsia="Times New Roman" w:hAnsi="Times New Roman"/>
                <w:sz w:val="18"/>
                <w:szCs w:val="18"/>
                <w:b w:val="1"/>
                <w:bCs w:val="1"/>
                <w:color w:val="auto"/>
              </w:rPr>
              <w:t>NOCERA, INC.</w:t>
            </w:r>
          </w:p>
        </w:tc>
      </w:tr>
      <w:tr>
        <w:trPr>
          <w:trHeight w:val="608"/>
        </w:trPr>
        <w:tc>
          <w:tcPr>
            <w:tcW w:w="3660" w:type="dxa"/>
            <w:vAlign w:val="bottom"/>
          </w:tcPr>
          <w:p>
            <w:pPr>
              <w:spacing w:after="0"/>
              <w:rPr>
                <w:sz w:val="20"/>
                <w:szCs w:val="20"/>
                <w:color w:val="auto"/>
              </w:rPr>
            </w:pPr>
            <w:r>
              <w:rPr>
                <w:rFonts w:ascii="Times New Roman" w:cs="Times New Roman" w:eastAsia="Times New Roman" w:hAnsi="Times New Roman"/>
                <w:sz w:val="18"/>
                <w:szCs w:val="18"/>
                <w:color w:val="auto"/>
              </w:rPr>
              <w:t>Date: January 14, 2026</w:t>
            </w:r>
          </w:p>
        </w:tc>
        <w:tc>
          <w:tcPr>
            <w:tcW w:w="4120" w:type="dxa"/>
            <w:vAlign w:val="bottom"/>
            <w:gridSpan w:val="3"/>
          </w:tcPr>
          <w:p>
            <w:pPr>
              <w:ind w:left="1960"/>
              <w:spacing w:after="0"/>
              <w:rPr>
                <w:sz w:val="20"/>
                <w:szCs w:val="20"/>
                <w:color w:val="auto"/>
              </w:rPr>
            </w:pPr>
            <w:r>
              <w:rPr>
                <w:rFonts w:ascii="Times New Roman" w:cs="Times New Roman" w:eastAsia="Times New Roman" w:hAnsi="Times New Roman"/>
                <w:sz w:val="18"/>
                <w:szCs w:val="18"/>
                <w:color w:val="auto"/>
              </w:rPr>
              <w:t xml:space="preserve">By: </w:t>
            </w:r>
            <w:r>
              <w:rPr>
                <w:rFonts w:ascii="Times New Roman" w:cs="Times New Roman" w:eastAsia="Times New Roman" w:hAnsi="Times New Roman"/>
                <w:sz w:val="18"/>
                <w:szCs w:val="18"/>
                <w:i w:val="1"/>
                <w:iCs w:val="1"/>
                <w:color w:val="auto"/>
              </w:rPr>
              <w:t>/s/ Andy Ching-An Jin</w:t>
            </w:r>
          </w:p>
        </w:tc>
      </w:tr>
      <w:tr>
        <w:trPr>
          <w:trHeight w:val="20"/>
        </w:trPr>
        <w:tc>
          <w:tcPr>
            <w:tcW w:w="3660" w:type="dxa"/>
            <w:vAlign w:val="bottom"/>
          </w:tcPr>
          <w:p>
            <w:pPr>
              <w:spacing w:after="0" w:line="20" w:lineRule="exact"/>
              <w:rPr>
                <w:sz w:val="1"/>
                <w:szCs w:val="1"/>
                <w:color w:val="auto"/>
              </w:rPr>
            </w:pPr>
          </w:p>
        </w:tc>
        <w:tc>
          <w:tcPr>
            <w:tcW w:w="2260" w:type="dxa"/>
            <w:vAlign w:val="bottom"/>
          </w:tcPr>
          <w:p>
            <w:pPr>
              <w:spacing w:after="0" w:line="20" w:lineRule="exact"/>
              <w:rPr>
                <w:sz w:val="1"/>
                <w:szCs w:val="1"/>
                <w:color w:val="auto"/>
              </w:rPr>
            </w:pPr>
          </w:p>
        </w:tc>
        <w:tc>
          <w:tcPr>
            <w:tcW w:w="160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218"/>
        </w:trPr>
        <w:tc>
          <w:tcPr>
            <w:tcW w:w="3660" w:type="dxa"/>
            <w:vAlign w:val="bottom"/>
          </w:tcPr>
          <w:p>
            <w:pPr>
              <w:spacing w:after="0"/>
              <w:rPr>
                <w:sz w:val="18"/>
                <w:szCs w:val="18"/>
                <w:color w:val="auto"/>
              </w:rPr>
            </w:pPr>
          </w:p>
        </w:tc>
        <w:tc>
          <w:tcPr>
            <w:tcW w:w="4120" w:type="dxa"/>
            <w:vAlign w:val="bottom"/>
            <w:gridSpan w:val="3"/>
          </w:tcPr>
          <w:p>
            <w:pPr>
              <w:ind w:left="1960"/>
              <w:spacing w:after="0"/>
              <w:rPr>
                <w:sz w:val="20"/>
                <w:szCs w:val="20"/>
                <w:color w:val="auto"/>
              </w:rPr>
            </w:pPr>
            <w:r>
              <w:rPr>
                <w:rFonts w:ascii="Times New Roman" w:cs="Times New Roman" w:eastAsia="Times New Roman" w:hAnsi="Times New Roman"/>
                <w:sz w:val="18"/>
                <w:szCs w:val="18"/>
                <w:color w:val="auto"/>
              </w:rPr>
              <w:t>Name: Andy Ching-An Jin</w:t>
            </w:r>
          </w:p>
        </w:tc>
      </w:tr>
      <w:tr>
        <w:trPr>
          <w:trHeight w:val="234"/>
        </w:trPr>
        <w:tc>
          <w:tcPr>
            <w:tcW w:w="3660" w:type="dxa"/>
            <w:vAlign w:val="bottom"/>
          </w:tcPr>
          <w:p>
            <w:pPr>
              <w:spacing w:after="0"/>
              <w:rPr>
                <w:sz w:val="20"/>
                <w:szCs w:val="20"/>
                <w:color w:val="auto"/>
              </w:rPr>
            </w:pPr>
          </w:p>
        </w:tc>
        <w:tc>
          <w:tcPr>
            <w:tcW w:w="4120" w:type="dxa"/>
            <w:vAlign w:val="bottom"/>
            <w:gridSpan w:val="3"/>
          </w:tcPr>
          <w:p>
            <w:pPr>
              <w:ind w:left="1960"/>
              <w:spacing w:after="0"/>
              <w:rPr>
                <w:sz w:val="20"/>
                <w:szCs w:val="20"/>
                <w:color w:val="auto"/>
              </w:rPr>
            </w:pPr>
            <w:r>
              <w:rPr>
                <w:rFonts w:ascii="Times New Roman" w:cs="Times New Roman" w:eastAsia="Times New Roman" w:hAnsi="Times New Roman"/>
                <w:sz w:val="18"/>
                <w:szCs w:val="18"/>
                <w:color w:val="auto"/>
                <w:w w:val="98"/>
              </w:rPr>
              <w:t>Title: Chief Executive Officer</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1240"/>
      </w:cols>
      <w:pgMar w:left="320" w:top="792"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AE8944A"/>
    <w:multiLevelType w:val="hybridMultilevel"/>
    <w:lvl w:ilvl="0">
      <w:lvlJc w:val="left"/>
      <w:lvlText w:val="☐"/>
      <w:numFmt w:val="bullet"/>
      <w:start w:val="1"/>
    </w:lvl>
  </w:abstractNum>
  <w:abstractNum w:abstractNumId="1">
    <w:nsid w:val="625558EC"/>
    <w:multiLevelType w:val="hybridMultilevel"/>
    <w:lvl w:ilvl="0">
      <w:lvlJc w:val="left"/>
      <w:lvlText w:val="%1."/>
      <w:numFmt w:val="decimal"/>
      <w:start w:val="1"/>
    </w:lvl>
  </w:abstractNum>
  <w:abstractNum w:abstractNumId="2">
    <w:nsid w:val="238E1F29"/>
    <w:multiLevelType w:val="hybridMultilevel"/>
    <w:lvl w:ilvl="0">
      <w:lvlJc w:val="left"/>
      <w:lvlText w:val="%1."/>
      <w:numFmt w:val="decimal"/>
      <w:start w:val="2"/>
    </w:lvl>
  </w:abstractNum>
  <w:abstractNum w:abstractNumId="3">
    <w:nsid w:val="46E87CCD"/>
    <w:multiLevelType w:val="hybridMultilevel"/>
    <w:lvl w:ilvl="0">
      <w:lvlJc w:val="left"/>
      <w:lvlText w:val="%1."/>
      <w:numFmt w:val="decimal"/>
      <w:start w:val="3"/>
    </w:lvl>
  </w:abstractNum>
  <w:abstractNum w:abstractNumId="4">
    <w:nsid w:val="3D1B58BA"/>
    <w:multiLevelType w:val="hybridMultilevel"/>
    <w:lvl w:ilvl="0">
      <w:lvlJc w:val="left"/>
      <w:lvlText w:val="%1."/>
      <w:numFmt w:val="decimal"/>
      <w:start w:val="4"/>
    </w:lvl>
  </w:abstractNum>
  <w:abstractNum w:abstractNumId="5">
    <w:nsid w:val="507ED7AB"/>
    <w:multiLevelType w:val="hybridMultilevel"/>
    <w:lvl w:ilvl="0">
      <w:lvlJc w:val="left"/>
      <w:lvlText w:val="%1."/>
      <w:numFmt w:val="decimal"/>
      <w:start w:val="6"/>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2026-01-14T07:06:03Z</dcterms:created>
  <dcterms:modified xsi:type="dcterms:W3CDTF">2026-01-14T07:06:03Z</dcterms:modified>
</cp:coreProperties>
</file>