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8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60"/>
              <w:spacing w:after="0"/>
              <w:rPr>
                <w:sz w:val="20"/>
                <w:szCs w:val="20"/>
                <w:color w:val="auto"/>
              </w:rPr>
            </w:pPr>
            <w:r>
              <w:rPr>
                <w:rFonts w:ascii="Arial" w:cs="Arial" w:eastAsia="Arial" w:hAnsi="Arial"/>
                <w:sz w:val="18"/>
                <w:szCs w:val="18"/>
                <w:b w:val="1"/>
                <w:bCs w:val="1"/>
                <w:color w:val="auto"/>
              </w:rPr>
              <w:t>FORM 8-K</w:t>
            </w:r>
          </w:p>
        </w:tc>
        <w:tc>
          <w:tcPr>
            <w:tcW w:w="2640" w:type="dxa"/>
            <w:vAlign w:val="bottom"/>
          </w:tcPr>
          <w:p>
            <w:pPr>
              <w:spacing w:after="0"/>
              <w:rPr>
                <w:sz w:val="20"/>
                <w:szCs w:val="20"/>
                <w:color w:val="auto"/>
              </w:rPr>
            </w:pPr>
          </w:p>
        </w:tc>
      </w:tr>
      <w:tr>
        <w:trPr>
          <w:trHeight w:val="432"/>
        </w:trPr>
        <w:tc>
          <w:tcPr>
            <w:tcW w:w="2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660" w:type="dxa"/>
            <w:vAlign w:val="bottom"/>
            <w:gridSpan w:val="5"/>
          </w:tcPr>
          <w:p>
            <w:pPr>
              <w:jc w:val="center"/>
              <w:ind w:right="1300"/>
              <w:spacing w:after="0"/>
              <w:rPr>
                <w:sz w:val="20"/>
                <w:szCs w:val="20"/>
                <w:color w:val="auto"/>
              </w:rPr>
            </w:pPr>
            <w:r>
              <w:rPr>
                <w:rFonts w:ascii="Arial" w:cs="Arial" w:eastAsia="Arial" w:hAnsi="Arial"/>
                <w:sz w:val="18"/>
                <w:szCs w:val="18"/>
                <w:b w:val="1"/>
                <w:bCs w:val="1"/>
                <w:color w:val="auto"/>
                <w:w w:val="99"/>
              </w:rPr>
              <w:t>CURRENT REPORT</w:t>
            </w:r>
          </w:p>
        </w:tc>
        <w:tc>
          <w:tcPr>
            <w:tcW w:w="2640" w:type="dxa"/>
            <w:vAlign w:val="bottom"/>
          </w:tcPr>
          <w:p>
            <w:pPr>
              <w:spacing w:after="0"/>
              <w:rPr>
                <w:sz w:val="24"/>
                <w:szCs w:val="24"/>
                <w:color w:val="auto"/>
              </w:rPr>
            </w:pPr>
          </w:p>
        </w:tc>
      </w:tr>
      <w:tr>
        <w:trPr>
          <w:trHeight w:val="432"/>
        </w:trPr>
        <w:tc>
          <w:tcPr>
            <w:tcW w:w="2800" w:type="dxa"/>
            <w:vAlign w:val="bottom"/>
          </w:tcPr>
          <w:p>
            <w:pPr>
              <w:spacing w:after="0"/>
              <w:rPr>
                <w:sz w:val="24"/>
                <w:szCs w:val="24"/>
                <w:color w:val="auto"/>
              </w:rPr>
            </w:pPr>
          </w:p>
        </w:tc>
        <w:tc>
          <w:tcPr>
            <w:tcW w:w="5800" w:type="dxa"/>
            <w:vAlign w:val="bottom"/>
            <w:gridSpan w:val="7"/>
          </w:tcPr>
          <w:p>
            <w:pPr>
              <w:jc w:val="center"/>
              <w:ind w:right="160"/>
              <w:spacing w:after="0"/>
              <w:rPr>
                <w:sz w:val="20"/>
                <w:szCs w:val="20"/>
                <w:color w:val="auto"/>
              </w:rPr>
            </w:pPr>
            <w:r>
              <w:rPr>
                <w:rFonts w:ascii="Arial" w:cs="Arial" w:eastAsia="Arial" w:hAnsi="Arial"/>
                <w:sz w:val="18"/>
                <w:szCs w:val="18"/>
                <w:b w:val="1"/>
                <w:bCs w:val="1"/>
                <w:color w:val="auto"/>
                <w:w w:val="89"/>
              </w:rPr>
              <w:t>Pursuant to Section 13 or 15(d) of the Securities Exchange Act of 1934</w:t>
            </w:r>
          </w:p>
        </w:tc>
        <w:tc>
          <w:tcPr>
            <w:tcW w:w="2640" w:type="dxa"/>
            <w:vAlign w:val="bottom"/>
          </w:tcPr>
          <w:p>
            <w:pPr>
              <w:spacing w:after="0"/>
              <w:rPr>
                <w:sz w:val="24"/>
                <w:szCs w:val="24"/>
                <w:color w:val="auto"/>
              </w:rPr>
            </w:pPr>
          </w:p>
        </w:tc>
      </w:tr>
      <w:tr>
        <w:trPr>
          <w:trHeight w:val="432"/>
        </w:trPr>
        <w:tc>
          <w:tcPr>
            <w:tcW w:w="2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220" w:type="dxa"/>
            <w:vAlign w:val="bottom"/>
            <w:gridSpan w:val="6"/>
          </w:tcPr>
          <w:p>
            <w:pPr>
              <w:jc w:val="center"/>
              <w:ind w:right="720"/>
              <w:spacing w:after="0"/>
              <w:rPr>
                <w:sz w:val="20"/>
                <w:szCs w:val="20"/>
                <w:color w:val="auto"/>
              </w:rPr>
            </w:pPr>
            <w:r>
              <w:rPr>
                <w:rFonts w:ascii="Arial" w:cs="Arial" w:eastAsia="Arial" w:hAnsi="Arial"/>
                <w:sz w:val="18"/>
                <w:szCs w:val="18"/>
                <w:color w:val="auto"/>
                <w:w w:val="90"/>
              </w:rPr>
              <w:t xml:space="preserve">Date of Report (date of earliest event reported): </w:t>
            </w:r>
            <w:r>
              <w:rPr>
                <w:rFonts w:ascii="Arial" w:cs="Arial" w:eastAsia="Arial" w:hAnsi="Arial"/>
                <w:sz w:val="18"/>
                <w:szCs w:val="18"/>
                <w:b w:val="1"/>
                <w:bCs w:val="1"/>
                <w:color w:val="auto"/>
                <w:w w:val="90"/>
              </w:rPr>
              <w:t>July 8, 2023</w:t>
            </w:r>
          </w:p>
        </w:tc>
        <w:tc>
          <w:tcPr>
            <w:tcW w:w="2640" w:type="dxa"/>
            <w:vAlign w:val="bottom"/>
          </w:tcPr>
          <w:p>
            <w:pPr>
              <w:spacing w:after="0"/>
              <w:rPr>
                <w:sz w:val="24"/>
                <w:szCs w:val="24"/>
                <w:color w:val="auto"/>
              </w:rPr>
            </w:pPr>
          </w:p>
        </w:tc>
      </w:tr>
      <w:tr>
        <w:trPr>
          <w:trHeight w:val="392"/>
        </w:trPr>
        <w:tc>
          <w:tcPr>
            <w:tcW w:w="2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0" w:type="dxa"/>
            <w:vAlign w:val="bottom"/>
            <w:gridSpan w:val="4"/>
          </w:tcPr>
          <w:p>
            <w:pPr>
              <w:jc w:val="center"/>
              <w:ind w:right="2360"/>
              <w:spacing w:after="0"/>
              <w:rPr>
                <w:sz w:val="20"/>
                <w:szCs w:val="20"/>
                <w:color w:val="auto"/>
              </w:rPr>
            </w:pPr>
            <w:r>
              <w:rPr>
                <w:rFonts w:ascii="Arial" w:cs="Arial" w:eastAsia="Arial" w:hAnsi="Arial"/>
                <w:sz w:val="18"/>
                <w:szCs w:val="18"/>
                <w:b w:val="1"/>
                <w:bCs w:val="1"/>
                <w:color w:val="auto"/>
                <w:w w:val="99"/>
              </w:rPr>
              <w:t>NOCERA, INC.</w:t>
            </w:r>
          </w:p>
        </w:tc>
        <w:tc>
          <w:tcPr>
            <w:tcW w:w="2640" w:type="dxa"/>
            <w:vAlign w:val="bottom"/>
          </w:tcPr>
          <w:p>
            <w:pPr>
              <w:spacing w:after="0"/>
              <w:rPr>
                <w:sz w:val="24"/>
                <w:szCs w:val="24"/>
                <w:color w:val="auto"/>
              </w:rPr>
            </w:pPr>
          </w:p>
        </w:tc>
      </w:tr>
      <w:tr>
        <w:trPr>
          <w:trHeight w:val="20"/>
        </w:trPr>
        <w:tc>
          <w:tcPr>
            <w:tcW w:w="28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360" w:type="dxa"/>
            <w:vAlign w:val="bottom"/>
            <w:gridSpan w:val="3"/>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r>
      <w:tr>
        <w:trPr>
          <w:trHeight w:val="237"/>
        </w:trPr>
        <w:tc>
          <w:tcPr>
            <w:tcW w:w="28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20" w:type="dxa"/>
            <w:vAlign w:val="bottom"/>
            <w:gridSpan w:val="6"/>
          </w:tcPr>
          <w:p>
            <w:pPr>
              <w:jc w:val="center"/>
              <w:ind w:right="720"/>
              <w:spacing w:after="0"/>
              <w:rPr>
                <w:sz w:val="20"/>
                <w:szCs w:val="20"/>
                <w:color w:val="auto"/>
              </w:rPr>
            </w:pPr>
            <w:r>
              <w:rPr>
                <w:rFonts w:ascii="Arial" w:cs="Arial" w:eastAsia="Arial" w:hAnsi="Arial"/>
                <w:sz w:val="18"/>
                <w:szCs w:val="18"/>
                <w:color w:val="auto"/>
                <w:w w:val="90"/>
              </w:rPr>
              <w:t>(Exact name of registrant as specified in charter)</w:t>
            </w:r>
          </w:p>
        </w:tc>
        <w:tc>
          <w:tcPr>
            <w:tcW w:w="2640" w:type="dxa"/>
            <w:vAlign w:val="bottom"/>
          </w:tcPr>
          <w:p>
            <w:pPr>
              <w:spacing w:after="0"/>
              <w:rPr>
                <w:sz w:val="20"/>
                <w:szCs w:val="20"/>
                <w:color w:val="auto"/>
              </w:rPr>
            </w:pPr>
          </w:p>
        </w:tc>
      </w:tr>
      <w:tr>
        <w:trPr>
          <w:trHeight w:val="439"/>
        </w:trPr>
        <w:tc>
          <w:tcPr>
            <w:tcW w:w="2800" w:type="dxa"/>
            <w:vAlign w:val="bottom"/>
          </w:tcPr>
          <w:p>
            <w:pPr>
              <w:jc w:val="center"/>
              <w:ind w:left="490"/>
              <w:spacing w:after="0"/>
              <w:rPr>
                <w:sz w:val="20"/>
                <w:szCs w:val="20"/>
                <w:color w:val="auto"/>
              </w:rPr>
            </w:pPr>
            <w:r>
              <w:rPr>
                <w:rFonts w:ascii="Arial" w:cs="Arial" w:eastAsia="Arial" w:hAnsi="Arial"/>
                <w:sz w:val="18"/>
                <w:szCs w:val="18"/>
                <w:b w:val="1"/>
                <w:bCs w:val="1"/>
                <w:color w:val="auto"/>
                <w:w w:val="90"/>
              </w:rPr>
              <w:t>Nevada</w:t>
            </w:r>
          </w:p>
        </w:tc>
        <w:tc>
          <w:tcPr>
            <w:tcW w:w="3440" w:type="dxa"/>
            <w:vAlign w:val="bottom"/>
            <w:gridSpan w:val="4"/>
          </w:tcPr>
          <w:p>
            <w:pPr>
              <w:jc w:val="center"/>
              <w:ind w:left="2130"/>
              <w:spacing w:after="0"/>
              <w:rPr>
                <w:sz w:val="20"/>
                <w:szCs w:val="20"/>
                <w:color w:val="auto"/>
              </w:rPr>
            </w:pPr>
            <w:r>
              <w:rPr>
                <w:rFonts w:ascii="Arial" w:cs="Arial" w:eastAsia="Arial" w:hAnsi="Arial"/>
                <w:sz w:val="18"/>
                <w:szCs w:val="18"/>
                <w:b w:val="1"/>
                <w:bCs w:val="1"/>
                <w:color w:val="auto"/>
                <w:w w:val="90"/>
              </w:rPr>
              <w:t>001-41434</w:t>
            </w:r>
          </w:p>
        </w:tc>
        <w:tc>
          <w:tcPr>
            <w:tcW w:w="10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40" w:type="dxa"/>
            <w:vAlign w:val="bottom"/>
          </w:tcPr>
          <w:p>
            <w:pPr>
              <w:jc w:val="center"/>
              <w:ind w:right="650"/>
              <w:spacing w:after="0"/>
              <w:rPr>
                <w:sz w:val="20"/>
                <w:szCs w:val="20"/>
                <w:color w:val="auto"/>
              </w:rPr>
            </w:pPr>
            <w:r>
              <w:rPr>
                <w:rFonts w:ascii="Arial" w:cs="Arial" w:eastAsia="Arial" w:hAnsi="Arial"/>
                <w:sz w:val="18"/>
                <w:szCs w:val="18"/>
                <w:b w:val="1"/>
                <w:bCs w:val="1"/>
                <w:color w:val="auto"/>
                <w:w w:val="89"/>
              </w:rPr>
              <w:t>16-1626611</w:t>
            </w:r>
          </w:p>
        </w:tc>
      </w:tr>
      <w:tr>
        <w:trPr>
          <w:trHeight w:val="202"/>
        </w:trPr>
        <w:tc>
          <w:tcPr>
            <w:tcW w:w="2800" w:type="dxa"/>
            <w:vAlign w:val="bottom"/>
            <w:tcBorders>
              <w:top w:val="single" w:sz="8" w:color="auto"/>
            </w:tcBorders>
          </w:tcPr>
          <w:p>
            <w:pPr>
              <w:jc w:val="center"/>
              <w:ind w:left="490"/>
              <w:spacing w:after="0" w:line="201" w:lineRule="exact"/>
              <w:rPr>
                <w:sz w:val="20"/>
                <w:szCs w:val="20"/>
                <w:color w:val="auto"/>
              </w:rPr>
            </w:pPr>
            <w:r>
              <w:rPr>
                <w:rFonts w:ascii="Arial" w:cs="Arial" w:eastAsia="Arial" w:hAnsi="Arial"/>
                <w:sz w:val="18"/>
                <w:szCs w:val="18"/>
                <w:color w:val="auto"/>
                <w:w w:val="92"/>
              </w:rPr>
              <w:t>(State or other jurisdiction</w:t>
            </w:r>
          </w:p>
        </w:tc>
        <w:tc>
          <w:tcPr>
            <w:tcW w:w="580" w:type="dxa"/>
            <w:vAlign w:val="bottom"/>
            <w:tcBorders>
              <w:top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2320" w:type="dxa"/>
            <w:vAlign w:val="bottom"/>
            <w:tcBorders>
              <w:top w:val="single" w:sz="8" w:color="auto"/>
            </w:tcBorders>
            <w:gridSpan w:val="2"/>
          </w:tcPr>
          <w:p>
            <w:pPr>
              <w:jc w:val="center"/>
              <w:ind w:right="1080"/>
              <w:spacing w:after="0" w:line="201" w:lineRule="exact"/>
              <w:rPr>
                <w:sz w:val="20"/>
                <w:szCs w:val="20"/>
                <w:color w:val="auto"/>
              </w:rPr>
            </w:pPr>
            <w:r>
              <w:rPr>
                <w:rFonts w:ascii="Arial" w:cs="Arial" w:eastAsia="Arial" w:hAnsi="Arial"/>
                <w:sz w:val="18"/>
                <w:szCs w:val="18"/>
                <w:color w:val="auto"/>
                <w:w w:val="91"/>
              </w:rPr>
              <w:t>(Commission</w:t>
            </w:r>
          </w:p>
        </w:tc>
        <w:tc>
          <w:tcPr>
            <w:tcW w:w="540" w:type="dxa"/>
            <w:vAlign w:val="bottom"/>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2640" w:type="dxa"/>
            <w:vAlign w:val="bottom"/>
            <w:tcBorders>
              <w:top w:val="single" w:sz="8" w:color="auto"/>
            </w:tcBorders>
          </w:tcPr>
          <w:p>
            <w:pPr>
              <w:jc w:val="center"/>
              <w:ind w:right="650"/>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2800" w:type="dxa"/>
            <w:vAlign w:val="bottom"/>
          </w:tcPr>
          <w:p>
            <w:pPr>
              <w:jc w:val="center"/>
              <w:ind w:left="490"/>
              <w:spacing w:after="0"/>
              <w:rPr>
                <w:sz w:val="20"/>
                <w:szCs w:val="20"/>
                <w:color w:val="auto"/>
              </w:rPr>
            </w:pPr>
            <w:r>
              <w:rPr>
                <w:rFonts w:ascii="Arial" w:cs="Arial" w:eastAsia="Arial" w:hAnsi="Arial"/>
                <w:sz w:val="18"/>
                <w:szCs w:val="18"/>
                <w:color w:val="auto"/>
                <w:w w:val="93"/>
              </w:rPr>
              <w:t>of incorporation)</w:t>
            </w: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40"/>
              <w:spacing w:after="0"/>
              <w:rPr>
                <w:sz w:val="20"/>
                <w:szCs w:val="20"/>
                <w:color w:val="auto"/>
              </w:rPr>
            </w:pPr>
            <w:r>
              <w:rPr>
                <w:rFonts w:ascii="Arial" w:cs="Arial" w:eastAsia="Arial" w:hAnsi="Arial"/>
                <w:sz w:val="18"/>
                <w:szCs w:val="18"/>
                <w:color w:val="auto"/>
                <w:w w:val="94"/>
              </w:rPr>
              <w:t>File Number)</w:t>
            </w:r>
          </w:p>
        </w:tc>
        <w:tc>
          <w:tcPr>
            <w:tcW w:w="2640" w:type="dxa"/>
            <w:vAlign w:val="bottom"/>
          </w:tcPr>
          <w:p>
            <w:pPr>
              <w:jc w:val="center"/>
              <w:ind w:right="650"/>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Taiwan 221,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 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300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auto"/>
                <w:w w:val="87"/>
              </w:rPr>
              <w:t>Title of each class</w:t>
            </w:r>
          </w:p>
        </w:tc>
        <w:tc>
          <w:tcPr>
            <w:tcW w:w="27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Borders>
              <w:bottom w:val="single" w:sz="8" w:color="auto"/>
            </w:tcBorders>
          </w:tcPr>
          <w:p>
            <w:pPr>
              <w:jc w:val="center"/>
              <w:ind w:left="43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20" w:type="dxa"/>
            <w:vAlign w:val="bottom"/>
          </w:tcPr>
          <w:p>
            <w:pPr>
              <w:jc w:val="center"/>
              <w:ind w:right="370"/>
              <w:spacing w:after="0"/>
              <w:rPr>
                <w:sz w:val="20"/>
                <w:szCs w:val="20"/>
                <w:color w:val="auto"/>
              </w:rPr>
            </w:pPr>
            <w:r>
              <w:rPr>
                <w:rFonts w:ascii="Arial" w:cs="Arial" w:eastAsia="Arial" w:hAnsi="Arial"/>
                <w:sz w:val="18"/>
                <w:szCs w:val="18"/>
                <w:color w:val="auto"/>
                <w:w w:val="89"/>
              </w:rPr>
              <w:t>Common Stock, par value $0.001 per share</w:t>
            </w:r>
          </w:p>
        </w:tc>
        <w:tc>
          <w:tcPr>
            <w:tcW w:w="2760" w:type="dxa"/>
            <w:vAlign w:val="bottom"/>
          </w:tcPr>
          <w:p>
            <w:pPr>
              <w:jc w:val="center"/>
              <w:spacing w:after="0"/>
              <w:rPr>
                <w:sz w:val="20"/>
                <w:szCs w:val="20"/>
                <w:color w:val="auto"/>
              </w:rPr>
            </w:pPr>
            <w:r>
              <w:rPr>
                <w:rFonts w:ascii="Arial" w:cs="Arial" w:eastAsia="Arial" w:hAnsi="Arial"/>
                <w:sz w:val="18"/>
                <w:szCs w:val="18"/>
                <w:color w:val="auto"/>
                <w:w w:val="97"/>
              </w:rPr>
              <w:t>NCRA</w:t>
            </w:r>
          </w:p>
        </w:tc>
        <w:tc>
          <w:tcPr>
            <w:tcW w:w="4260" w:type="dxa"/>
            <w:vAlign w:val="bottom"/>
          </w:tcPr>
          <w:p>
            <w:pPr>
              <w:jc w:val="center"/>
              <w:ind w:left="430"/>
              <w:spacing w:after="0"/>
              <w:rPr>
                <w:sz w:val="20"/>
                <w:szCs w:val="20"/>
                <w:color w:val="auto"/>
              </w:rPr>
            </w:pPr>
            <w:r>
              <w:rPr>
                <w:rFonts w:ascii="Arial" w:cs="Arial" w:eastAsia="Arial" w:hAnsi="Arial"/>
                <w:sz w:val="18"/>
                <w:szCs w:val="18"/>
                <w:color w:val="auto"/>
                <w:w w:val="91"/>
              </w:rPr>
              <w:t>The Nasdaq Stock Market LLC</w:t>
            </w:r>
          </w:p>
        </w:tc>
      </w:tr>
    </w:tbl>
    <w:p>
      <w:pPr>
        <w:spacing w:after="0" w:line="187"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6"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93" w:lineRule="exact"/>
        <w:rPr>
          <w:sz w:val="24"/>
          <w:szCs w:val="24"/>
          <w:color w:val="auto"/>
        </w:rPr>
      </w:pPr>
    </w:p>
    <w:p>
      <w:pPr>
        <w:jc w:val="both"/>
        <w:spacing w:after="0" w:line="29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ind w:left="1140" w:right="160" w:hanging="1122"/>
        <w:spacing w:after="0" w:line="282" w:lineRule="auto"/>
        <w:tabs>
          <w:tab w:leader="none" w:pos="112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6" w:lineRule="exact"/>
        <w:rPr>
          <w:sz w:val="20"/>
          <w:szCs w:val="20"/>
          <w:color w:val="auto"/>
        </w:rPr>
      </w:pPr>
    </w:p>
    <w:p>
      <w:pPr>
        <w:jc w:val="both"/>
        <w:ind w:firstLine="8"/>
        <w:spacing w:after="0" w:line="263" w:lineRule="auto"/>
        <w:tabs>
          <w:tab w:leader="none" w:pos="256"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July 13, 2023, Nocera, Inc. (the “Company”) received a resignation notice from a member of its Board of Directors (“Board”), David Yu-Lung Kou. Such resignation is effective as of July 13, 2023. Mr. Kou’s resignation is not the result of any disagreement with the Company on any matter relating to the Company’s operations, policies or practices.</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position of Chief Executive Officer, President and Chairman of the Board was vacant as of July 8, 2023, which was due to the unexpected death of Yin-Chieh (“Jeff”) Cheng, the Company’s former Chief Executive Officer, President and Chairman of the Board.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(c) On July 13, 2023, the Board appointed David Yu-Lung Kou as the Company’s Acting Chief Executive Officer, effective July 13, 2023.</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David Kou, age 53, served as an independent member of our Board of Directors from December 19, 2019 until his resignation on July 13, 2023. Mr. Kou also served as the Chair and as the audit committee financial expert of the Company’s Audit Committee and as a member of the Company’s Nominating and Corporate Governance Committee. Mr. Kou is an executive with diversified experience in global business operations, product management, sales, marketing, and branding - including regional distribution and retail sales. He is experienced in (business) localization, product (roadmap) planning, business and operation establishment, restructuring and crisis recovery. Mr. Kou has experience in turn-around situations to achieve positive cash flow, strategic business planning and execution and innovative product creation and launch planning. Mr. Kou is currently the Chief of Strategy and Planning for Wistron Corp. His former employment positions include General Manager of TP Vision from 2015-2018, Vice President – Branded Business Operations at TPV from 2015-2018, a Business Advisor/Consultant of HokangTek from 2014-2018, Business and Operations Advisor of Top Innovation from 2014-2018, and an Executive Director, Global Sales of HTC Corp. from 2012-2014. He attended the University of Southern California earning an MSc. Electrical Engineering in 1991.</w:t>
      </w:r>
    </w:p>
    <w:p>
      <w:pPr>
        <w:spacing w:after="0" w:line="185" w:lineRule="exact"/>
        <w:rPr>
          <w:sz w:val="20"/>
          <w:szCs w:val="20"/>
          <w:color w:val="auto"/>
        </w:rPr>
      </w:pPr>
    </w:p>
    <w:p>
      <w:pPr>
        <w:jc w:val="both"/>
        <w:ind w:firstLine="8"/>
        <w:spacing w:after="0" w:line="259" w:lineRule="auto"/>
        <w:tabs>
          <w:tab w:leader="none" w:pos="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 xml:space="preserve">On July 13, 2023, the Board appointed each of Cheng Lu Min Huay and Yih-Yu (“Grace”) Lei to the position of director, effective as of July 13, 2023. Ms. Lei has been appointed to serve as the Chair of the Audit Committee of the Board and has been deemed by the Board to qualify as an audit committee financial expert under Item </w:t>
      </w:r>
      <w:r>
        <w:rPr>
          <w:rFonts w:ascii="Arial" w:cs="Arial" w:eastAsia="Arial" w:hAnsi="Arial"/>
          <w:sz w:val="18"/>
          <w:szCs w:val="18"/>
          <w:color w:val="222222"/>
        </w:rPr>
        <w:t>407(d)(5)(ii) and (iii) of Regulation S-K. Ms. Lei has also been appointed to serve as a member of the Nominating and</w:t>
      </w:r>
      <w:r>
        <w:rPr>
          <w:rFonts w:ascii="Arial" w:cs="Arial" w:eastAsia="Arial" w:hAnsi="Arial"/>
          <w:sz w:val="18"/>
          <w:szCs w:val="18"/>
          <w:color w:val="auto"/>
        </w:rPr>
        <w:t xml:space="preserve"> </w:t>
      </w:r>
      <w:r>
        <w:rPr>
          <w:rFonts w:ascii="Arial" w:cs="Arial" w:eastAsia="Arial" w:hAnsi="Arial"/>
          <w:sz w:val="18"/>
          <w:szCs w:val="18"/>
          <w:color w:val="222222"/>
        </w:rPr>
        <w:t xml:space="preserve">Corporate Governance Committee of the Board, </w:t>
      </w:r>
      <w:r>
        <w:rPr>
          <w:rFonts w:ascii="Arial" w:cs="Arial" w:eastAsia="Arial" w:hAnsi="Arial"/>
          <w:sz w:val="18"/>
          <w:szCs w:val="18"/>
          <w:color w:val="000000"/>
        </w:rPr>
        <w:t>effective upon becoming a director of the Company.</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Board has affirmatively determined that Ms. Lei meets the applicable standards for an independent director under both the rules of The Nasdaq Stock Market LLC and Rule 10A-3 under the Securities Exchange Act of 1934.</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Neither Ms. Cheng nor Ms. Lei has entered into agreements relating to compensation with regard to their service as directors of the Company and neither is a party to any arrangement or understanding with any person pursuant to which she was appointed as a director nor is party to any transactions required to be disclosed under Item 404(a) of Regulation S-K involving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 w:name="page3"/>
    <w:bookmarkEnd w:id="2"/>
    <w:p>
      <w:pPr>
        <w:jc w:val="center"/>
        <w:ind w:right="-3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20" w:type="dxa"/>
            <w:vAlign w:val="bottom"/>
          </w:tcPr>
          <w:p>
            <w:pPr>
              <w:spacing w:after="0"/>
              <w:rPr>
                <w:sz w:val="20"/>
                <w:szCs w:val="20"/>
                <w:color w:val="auto"/>
              </w:rPr>
            </w:pPr>
          </w:p>
        </w:tc>
        <w:tc>
          <w:tcPr>
            <w:tcW w:w="4660" w:type="dxa"/>
            <w:vAlign w:val="bottom"/>
            <w:gridSpan w:val="3"/>
          </w:tcPr>
          <w:p>
            <w:pPr>
              <w:ind w:left="2100"/>
              <w:spacing w:after="0"/>
              <w:rPr>
                <w:sz w:val="20"/>
                <w:szCs w:val="20"/>
                <w:color w:val="auto"/>
              </w:rPr>
            </w:pPr>
            <w:r>
              <w:rPr>
                <w:rFonts w:ascii="Arial" w:cs="Arial" w:eastAsia="Arial" w:hAnsi="Arial"/>
                <w:sz w:val="18"/>
                <w:szCs w:val="18"/>
                <w:b w:val="1"/>
                <w:bCs w:val="1"/>
                <w:color w:val="auto"/>
              </w:rPr>
              <w:t>NOCERA, INC.</w:t>
            </w:r>
          </w:p>
        </w:tc>
      </w:tr>
      <w:tr>
        <w:trPr>
          <w:trHeight w:val="391"/>
        </w:trPr>
        <w:tc>
          <w:tcPr>
            <w:tcW w:w="3520" w:type="dxa"/>
            <w:vAlign w:val="bottom"/>
          </w:tcPr>
          <w:p>
            <w:pPr>
              <w:spacing w:after="0"/>
              <w:rPr>
                <w:sz w:val="20"/>
                <w:szCs w:val="20"/>
                <w:color w:val="auto"/>
              </w:rPr>
            </w:pPr>
            <w:r>
              <w:rPr>
                <w:rFonts w:ascii="Arial" w:cs="Arial" w:eastAsia="Arial" w:hAnsi="Arial"/>
                <w:sz w:val="18"/>
                <w:szCs w:val="18"/>
                <w:color w:val="auto"/>
              </w:rPr>
              <w:t>Date: July 13, 2023</w:t>
            </w:r>
          </w:p>
        </w:tc>
        <w:tc>
          <w:tcPr>
            <w:tcW w:w="4660" w:type="dxa"/>
            <w:vAlign w:val="bottom"/>
            <w:gridSpan w:val="3"/>
          </w:tcPr>
          <w:p>
            <w:pPr>
              <w:ind w:left="2100"/>
              <w:spacing w:after="0"/>
              <w:rPr>
                <w:sz w:val="20"/>
                <w:szCs w:val="20"/>
                <w:color w:val="auto"/>
              </w:rPr>
            </w:pPr>
            <w:r>
              <w:rPr>
                <w:rFonts w:ascii="Arial" w:cs="Arial" w:eastAsia="Arial" w:hAnsi="Arial"/>
                <w:sz w:val="18"/>
                <w:szCs w:val="18"/>
                <w:color w:val="auto"/>
                <w:w w:val="91"/>
              </w:rPr>
              <w:t xml:space="preserve">By: </w:t>
            </w:r>
            <w:r>
              <w:rPr>
                <w:rFonts w:ascii="Arial" w:cs="Arial" w:eastAsia="Arial" w:hAnsi="Arial"/>
                <w:sz w:val="18"/>
                <w:szCs w:val="18"/>
                <w:i w:val="1"/>
                <w:iCs w:val="1"/>
                <w:color w:val="auto"/>
                <w:w w:val="91"/>
              </w:rPr>
              <w:t>/s/ Shun-Chih (Jimmy) Chuang</w:t>
            </w:r>
          </w:p>
        </w:tc>
      </w:tr>
      <w:tr>
        <w:trPr>
          <w:trHeight w:val="20"/>
        </w:trPr>
        <w:tc>
          <w:tcPr>
            <w:tcW w:w="35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2"/>
        </w:trPr>
        <w:tc>
          <w:tcPr>
            <w:tcW w:w="3520" w:type="dxa"/>
            <w:vAlign w:val="bottom"/>
          </w:tcPr>
          <w:p>
            <w:pPr>
              <w:spacing w:after="0"/>
              <w:rPr>
                <w:sz w:val="19"/>
                <w:szCs w:val="19"/>
                <w:color w:val="auto"/>
              </w:rPr>
            </w:pPr>
          </w:p>
        </w:tc>
        <w:tc>
          <w:tcPr>
            <w:tcW w:w="4660" w:type="dxa"/>
            <w:vAlign w:val="bottom"/>
            <w:gridSpan w:val="3"/>
          </w:tcPr>
          <w:p>
            <w:pPr>
              <w:ind w:left="2100"/>
              <w:spacing w:after="0"/>
              <w:rPr>
                <w:sz w:val="20"/>
                <w:szCs w:val="20"/>
                <w:color w:val="auto"/>
              </w:rPr>
            </w:pPr>
            <w:r>
              <w:rPr>
                <w:rFonts w:ascii="Arial" w:cs="Arial" w:eastAsia="Arial" w:hAnsi="Arial"/>
                <w:sz w:val="18"/>
                <w:szCs w:val="18"/>
                <w:color w:val="auto"/>
                <w:w w:val="90"/>
              </w:rPr>
              <w:t>Name: Shun-Chih (Jimmy) Chuang</w:t>
            </w:r>
          </w:p>
        </w:tc>
      </w:tr>
      <w:tr>
        <w:trPr>
          <w:trHeight w:val="230"/>
        </w:trPr>
        <w:tc>
          <w:tcPr>
            <w:tcW w:w="3520" w:type="dxa"/>
            <w:vAlign w:val="bottom"/>
          </w:tcPr>
          <w:p>
            <w:pPr>
              <w:spacing w:after="0"/>
              <w:rPr>
                <w:sz w:val="20"/>
                <w:szCs w:val="20"/>
                <w:color w:val="auto"/>
              </w:rPr>
            </w:pPr>
          </w:p>
        </w:tc>
        <w:tc>
          <w:tcPr>
            <w:tcW w:w="4660" w:type="dxa"/>
            <w:vAlign w:val="bottom"/>
            <w:gridSpan w:val="3"/>
          </w:tcPr>
          <w:p>
            <w:pPr>
              <w:ind w:left="2100"/>
              <w:spacing w:after="0"/>
              <w:rPr>
                <w:sz w:val="20"/>
                <w:szCs w:val="20"/>
                <w:color w:val="auto"/>
              </w:rPr>
            </w:pPr>
            <w:r>
              <w:rPr>
                <w:rFonts w:ascii="Arial" w:cs="Arial" w:eastAsia="Arial" w:hAnsi="Arial"/>
                <w:sz w:val="18"/>
                <w:szCs w:val="18"/>
                <w:color w:val="auto"/>
              </w:rPr>
              <w:t>Title: Chief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0920"/>
      </w:cols>
      <w:pgMar w:left="320" w:top="796" w:right="6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2"/>
    </w:lvl>
  </w:abstractNum>
  <w:abstractNum w:abstractNumId="2">
    <w:nsid w:val="19495CFF"/>
    <w:multiLevelType w:val="hybridMultilevel"/>
    <w:lvl w:ilvl="0">
      <w:lvlJc w:val="left"/>
      <w:lvlText w:val="(%1)"/>
      <w:numFmt w:val="lowerLetter"/>
      <w:start w:val="4"/>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2023-07-13T16:38:20Z</dcterms:created>
  <dcterms:modified xsi:type="dcterms:W3CDTF">2023-07-13T16:38:20Z</dcterms:modified>
</cp:coreProperties>
</file>