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before="0" w:after="0"/>
        <w:ind w:left="0" w:right="0" w:hanging="0"/>
        <w:jc w:val="left"/>
        <w:rPr>
          <w:caps w:val="false"/>
          <w:smallCaps w:val="false"/>
        </w:rPr>
      </w:pPr>
      <w:bookmarkStart w:id="0" w:name="nocera_rw.htm"/>
      <w:bookmarkStart w:id="1" w:name="ksnocera_rw"/>
      <w:bookmarkEnd w:id="0"/>
      <w:bookmarkEnd w:id="1"/>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3F (Building B), No. 185, Sec. 1, Datong Rd., Xizhi Dist.</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New Taipei City Taiwan 221, ROC</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(901) 302-9587</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July 30, 2025</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u w:val="single"/>
        </w:rPr>
      </w:pPr>
      <w:r>
        <w:rPr>
          <w:rFonts w:ascii="Times New Roman;Times;Serif" w:hAnsi="Times New Roman;Times;Serif"/>
          <w:b/>
          <w:i w:val="false"/>
          <w:caps w:val="false"/>
          <w:smallCaps w:val="false"/>
          <w:sz w:val="20"/>
          <w:u w:val="single"/>
        </w:rPr>
        <w:t>VIA EDGAR</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Division of Corporation Finance</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Securities and Exchange Commission</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100 F Street, N.E.</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Washington, D.C. 20549</w:t>
      </w:r>
    </w:p>
    <w:p>
      <w:pPr>
        <w:pStyle w:val="TextBody"/>
        <w:bidi w:val="0"/>
        <w:spacing w:before="0" w:after="0"/>
        <w:ind w:left="0" w:right="0" w:hanging="0"/>
        <w:jc w:val="center"/>
        <w:rPr>
          <w:caps w:val="false"/>
          <w:smallCaps w:val="false"/>
        </w:rPr>
      </w:pPr>
      <w:r>
        <w:rPr>
          <w:caps w:val="false"/>
          <w:smallCaps w:val="false"/>
        </w:rPr>
        <w:t> </w:t>
      </w:r>
    </w:p>
    <w:tbl>
      <w:tblPr>
        <w:tblW w:w="4660" w:type="dxa"/>
        <w:jc w:val="left"/>
        <w:tblInd w:w="0" w:type="dxa"/>
        <w:tblLayout w:type="fixed"/>
        <w:tblCellMar>
          <w:top w:w="0" w:type="dxa"/>
          <w:left w:w="0" w:type="dxa"/>
          <w:bottom w:w="0" w:type="dxa"/>
          <w:right w:w="0" w:type="dxa"/>
        </w:tblCellMar>
      </w:tblPr>
      <w:tblGrid>
        <w:gridCol w:w="320"/>
        <w:gridCol w:w="4340"/>
      </w:tblGrid>
      <w:tr>
        <w:trPr/>
        <w:tc>
          <w:tcPr>
            <w:tcW w:w="320" w:type="dxa"/>
            <w:tcBorders/>
            <w:vAlign w:val="center"/>
          </w:tcPr>
          <w:p>
            <w:pPr>
              <w:pStyle w:val="TableContents"/>
              <w:bidi w:val="0"/>
              <w:spacing w:before="0" w:after="283"/>
              <w:jc w:val="both"/>
              <w:rPr>
                <w:b/>
                <w:sz w:val="20"/>
              </w:rPr>
            </w:pPr>
            <w:r>
              <w:rPr>
                <w:b/>
                <w:sz w:val="20"/>
              </w:rPr>
              <w:t>Re:</w:t>
            </w:r>
          </w:p>
        </w:tc>
        <w:tc>
          <w:tcPr>
            <w:tcW w:w="4340" w:type="dxa"/>
            <w:tcBorders/>
            <w:vAlign w:val="center"/>
          </w:tcPr>
          <w:p>
            <w:pPr>
              <w:pStyle w:val="TableContents"/>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Nocera, Inc. </w:t>
            </w:r>
          </w:p>
          <w:p>
            <w:pPr>
              <w:pStyle w:val="TableContents"/>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Withdrawal of Registration Statement on Form S-3</w:t>
            </w:r>
          </w:p>
          <w:p>
            <w:pPr>
              <w:pStyle w:val="TableContents"/>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File No. 333-282749</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Ladies and Gentlemen: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Rule 477 of the Securities Act of 1933, as amended (“Securities Act”), Nocera, Inc. (the “Company”), hereby requests the immediate withdrawal of its Registration Statement on Form S-3 (File No. 333-282749), initially filed with the Securities and Exchange Commission (“SEC”) on October 21, 2022, together with all exhibits thereto (“Registration Statement”), with such application to be approved effective as of the date hereof or at the earliest practical date thereafter. The Company is seeking withdrawal of the Registration Statement as it does not intend to pursue the contemplated offering of the securities covered by the Registration Statement at this time. The Registration Statement has not been declared effective and no securities of the Company were sold pursuant to the Registration Statement.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requests that, in accordance with Rule 457(p) under the Securities Act, all fees paid to the SEC in connection with the filing of the Registration Statement be credited for future use.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you have any further questions regarding this request for withdrawal, or if you require any additional information, please contact, Ross D. Carmel, Esq. of Sichenzia Ross Ference Carmel LLP at (646) 838-1310.</w:t>
      </w:r>
    </w:p>
    <w:p>
      <w:pPr>
        <w:pStyle w:val="TextBody"/>
        <w:bidi w:val="0"/>
        <w:spacing w:before="0" w:after="0"/>
        <w:ind w:left="0" w:right="0" w:hanging="0"/>
        <w:jc w:val="left"/>
        <w:rPr>
          <w:caps w:val="false"/>
          <w:smallCaps w:val="false"/>
        </w:rPr>
      </w:pPr>
      <w:r>
        <w:rPr>
          <w:caps w:val="false"/>
          <w:smallCaps w:val="false"/>
        </w:rPr>
        <w:t> </w:t>
      </w:r>
    </w:p>
    <w:tbl>
      <w:tblPr>
        <w:tblW w:w="2740" w:type="dxa"/>
        <w:jc w:val="left"/>
        <w:tblInd w:w="0" w:type="dxa"/>
        <w:tblLayout w:type="fixed"/>
        <w:tblCellMar>
          <w:top w:w="0" w:type="dxa"/>
          <w:left w:w="0" w:type="dxa"/>
          <w:bottom w:w="0" w:type="dxa"/>
          <w:right w:w="0" w:type="dxa"/>
        </w:tblCellMar>
      </w:tblPr>
      <w:tblGrid>
        <w:gridCol w:w="380"/>
        <w:gridCol w:w="2285"/>
        <w:gridCol w:w="75"/>
      </w:tblGrid>
      <w:tr>
        <w:trPr/>
        <w:tc>
          <w:tcPr>
            <w:tcW w:w="2665" w:type="dxa"/>
            <w:gridSpan w:val="2"/>
            <w:tcBorders/>
            <w:vAlign w:val="center"/>
          </w:tcPr>
          <w:p>
            <w:pPr>
              <w:pStyle w:val="TableContents"/>
              <w:bidi w:val="0"/>
              <w:spacing w:before="0" w:after="283"/>
              <w:jc w:val="both"/>
              <w:rPr/>
            </w:pPr>
            <w:r>
              <w:rPr/>
              <w:t>Very truly yours,</w:t>
            </w:r>
          </w:p>
        </w:tc>
        <w:tc>
          <w:tcPr>
            <w:tcW w:w="75" w:type="dxa"/>
            <w:tcBorders/>
            <w:vAlign w:val="center"/>
          </w:tcPr>
          <w:p>
            <w:pPr>
              <w:pStyle w:val="TableContents"/>
              <w:bidi w:val="0"/>
              <w:spacing w:before="0" w:after="283"/>
              <w:jc w:val="left"/>
              <w:rPr/>
            </w:pPr>
            <w:r>
              <w:rPr/>
              <w:t> </w:t>
            </w:r>
          </w:p>
        </w:tc>
      </w:tr>
      <w:tr>
        <w:trPr/>
        <w:tc>
          <w:tcPr>
            <w:tcW w:w="380" w:type="dxa"/>
            <w:tcBorders/>
            <w:vAlign w:val="center"/>
          </w:tcPr>
          <w:p>
            <w:pPr>
              <w:pStyle w:val="TableContents"/>
              <w:bidi w:val="0"/>
              <w:spacing w:before="0" w:after="283"/>
              <w:jc w:val="both"/>
              <w:rPr/>
            </w:pPr>
            <w:r>
              <w:rPr/>
              <w:t> </w:t>
            </w:r>
          </w:p>
        </w:tc>
        <w:tc>
          <w:tcPr>
            <w:tcW w:w="2285" w:type="dxa"/>
            <w:tcBorders/>
            <w:vAlign w:val="center"/>
          </w:tcPr>
          <w:p>
            <w:pPr>
              <w:pStyle w:val="TableContents"/>
              <w:bidi w:val="0"/>
              <w:spacing w:before="0" w:after="283"/>
              <w:jc w:val="both"/>
              <w:rPr/>
            </w:pPr>
            <w:r>
              <w:rPr/>
              <w:t> </w:t>
            </w:r>
          </w:p>
        </w:tc>
        <w:tc>
          <w:tcPr>
            <w:tcW w:w="75" w:type="dxa"/>
            <w:tcBorders/>
            <w:vAlign w:val="center"/>
          </w:tcPr>
          <w:p>
            <w:pPr>
              <w:pStyle w:val="TableContents"/>
              <w:bidi w:val="0"/>
              <w:spacing w:before="0" w:after="283"/>
              <w:jc w:val="left"/>
              <w:rPr/>
            </w:pPr>
            <w:r>
              <w:rPr/>
              <w:t> </w:t>
            </w:r>
          </w:p>
        </w:tc>
      </w:tr>
      <w:tr>
        <w:trPr/>
        <w:tc>
          <w:tcPr>
            <w:tcW w:w="2665" w:type="dxa"/>
            <w:gridSpan w:val="2"/>
            <w:tcBorders/>
            <w:vAlign w:val="center"/>
          </w:tcPr>
          <w:p>
            <w:pPr>
              <w:pStyle w:val="TableContents"/>
              <w:bidi w:val="0"/>
              <w:spacing w:before="0" w:after="283"/>
              <w:jc w:val="both"/>
              <w:rPr/>
            </w:pPr>
            <w:r>
              <w:rPr/>
              <w:t>Nocera, Inc.</w:t>
            </w:r>
          </w:p>
        </w:tc>
        <w:tc>
          <w:tcPr>
            <w:tcW w:w="75" w:type="dxa"/>
            <w:tcBorders/>
            <w:vAlign w:val="center"/>
          </w:tcPr>
          <w:p>
            <w:pPr>
              <w:pStyle w:val="TableContents"/>
              <w:bidi w:val="0"/>
              <w:spacing w:before="0" w:after="283"/>
              <w:jc w:val="left"/>
              <w:rPr/>
            </w:pPr>
            <w:r>
              <w:rPr/>
              <w:t> </w:t>
            </w:r>
          </w:p>
        </w:tc>
      </w:tr>
      <w:tr>
        <w:trPr/>
        <w:tc>
          <w:tcPr>
            <w:tcW w:w="380" w:type="dxa"/>
            <w:tcBorders/>
            <w:vAlign w:val="center"/>
          </w:tcPr>
          <w:p>
            <w:pPr>
              <w:pStyle w:val="TableContents"/>
              <w:bidi w:val="0"/>
              <w:spacing w:before="0" w:after="283"/>
              <w:jc w:val="both"/>
              <w:rPr/>
            </w:pPr>
            <w:r>
              <w:rPr/>
              <w:t> </w:t>
            </w:r>
          </w:p>
        </w:tc>
        <w:tc>
          <w:tcPr>
            <w:tcW w:w="2285" w:type="dxa"/>
            <w:tcBorders/>
            <w:vAlign w:val="center"/>
          </w:tcPr>
          <w:p>
            <w:pPr>
              <w:pStyle w:val="TableContents"/>
              <w:bidi w:val="0"/>
              <w:spacing w:before="0" w:after="283"/>
              <w:jc w:val="both"/>
              <w:rPr/>
            </w:pPr>
            <w:r>
              <w:rPr/>
              <w:t> </w:t>
            </w:r>
          </w:p>
        </w:tc>
        <w:tc>
          <w:tcPr>
            <w:tcW w:w="75" w:type="dxa"/>
            <w:tcBorders/>
            <w:vAlign w:val="center"/>
          </w:tcPr>
          <w:p>
            <w:pPr>
              <w:pStyle w:val="TableContents"/>
              <w:bidi w:val="0"/>
              <w:spacing w:before="0" w:after="283"/>
              <w:jc w:val="left"/>
              <w:rPr/>
            </w:pPr>
            <w:r>
              <w:rPr/>
              <w:t> </w:t>
            </w:r>
          </w:p>
        </w:tc>
      </w:tr>
      <w:tr>
        <w:trPr/>
        <w:tc>
          <w:tcPr>
            <w:tcW w:w="380" w:type="dxa"/>
            <w:tcBorders/>
            <w:vAlign w:val="center"/>
          </w:tcPr>
          <w:p>
            <w:pPr>
              <w:pStyle w:val="TableContents"/>
              <w:bidi w:val="0"/>
              <w:spacing w:before="0" w:after="283"/>
              <w:jc w:val="both"/>
              <w:rPr/>
            </w:pPr>
            <w:r>
              <w:rPr/>
              <w:t>By:</w:t>
            </w:r>
          </w:p>
        </w:tc>
        <w:tc>
          <w:tcPr>
            <w:tcW w:w="2285" w:type="dxa"/>
            <w:tcBorders>
              <w:bottom w:val="single" w:sz="8" w:space="0" w:color="000000"/>
            </w:tcBorders>
            <w:tcMar>
              <w:bottom w:w="28" w:type="dxa"/>
            </w:tcMar>
            <w:vAlign w:val="center"/>
          </w:tcPr>
          <w:p>
            <w:pPr>
              <w:pStyle w:val="TableContents"/>
              <w:bidi w:val="0"/>
              <w:spacing w:before="0" w:after="283"/>
              <w:jc w:val="both"/>
              <w:rPr>
                <w:i/>
              </w:rPr>
            </w:pPr>
            <w:r>
              <w:rPr>
                <w:i/>
              </w:rPr>
              <w:t>/s/ Andy Jin</w:t>
            </w:r>
          </w:p>
        </w:tc>
        <w:tc>
          <w:tcPr>
            <w:tcW w:w="75" w:type="dxa"/>
            <w:tcBorders/>
            <w:vAlign w:val="center"/>
          </w:tcPr>
          <w:p>
            <w:pPr>
              <w:pStyle w:val="TableContents"/>
              <w:bidi w:val="0"/>
              <w:spacing w:before="0" w:after="283"/>
              <w:jc w:val="left"/>
              <w:rPr/>
            </w:pPr>
            <w:r>
              <w:rPr/>
              <w:t> </w:t>
            </w:r>
          </w:p>
        </w:tc>
      </w:tr>
      <w:tr>
        <w:trPr/>
        <w:tc>
          <w:tcPr>
            <w:tcW w:w="380" w:type="dxa"/>
            <w:tcBorders/>
            <w:vAlign w:val="center"/>
          </w:tcPr>
          <w:p>
            <w:pPr>
              <w:pStyle w:val="TableContents"/>
              <w:bidi w:val="0"/>
              <w:spacing w:before="0" w:after="283"/>
              <w:jc w:val="both"/>
              <w:rPr/>
            </w:pPr>
            <w:r>
              <w:rPr/>
              <w:t> </w:t>
            </w:r>
          </w:p>
        </w:tc>
        <w:tc>
          <w:tcPr>
            <w:tcW w:w="2285" w:type="dxa"/>
            <w:tcBorders/>
            <w:vAlign w:val="center"/>
          </w:tcPr>
          <w:p>
            <w:pPr>
              <w:pStyle w:val="TableContents"/>
              <w:bidi w:val="0"/>
              <w:spacing w:before="0" w:after="283"/>
              <w:jc w:val="both"/>
              <w:rPr/>
            </w:pPr>
            <w:r>
              <w:rPr/>
              <w:t>Andy Jin</w:t>
            </w:r>
          </w:p>
        </w:tc>
        <w:tc>
          <w:tcPr>
            <w:tcW w:w="75" w:type="dxa"/>
            <w:tcBorders/>
            <w:vAlign w:val="center"/>
          </w:tcPr>
          <w:p>
            <w:pPr>
              <w:pStyle w:val="TableContents"/>
              <w:bidi w:val="0"/>
              <w:spacing w:before="0" w:after="283"/>
              <w:jc w:val="left"/>
              <w:rPr/>
            </w:pPr>
            <w:r>
              <w:rPr/>
              <w:t> </w:t>
            </w:r>
          </w:p>
        </w:tc>
      </w:tr>
      <w:tr>
        <w:trPr/>
        <w:tc>
          <w:tcPr>
            <w:tcW w:w="380" w:type="dxa"/>
            <w:tcBorders/>
            <w:vAlign w:val="center"/>
          </w:tcPr>
          <w:p>
            <w:pPr>
              <w:pStyle w:val="TableContents"/>
              <w:bidi w:val="0"/>
              <w:spacing w:before="0" w:after="283"/>
              <w:jc w:val="both"/>
              <w:rPr/>
            </w:pPr>
            <w:r>
              <w:rPr/>
              <w:t> </w:t>
            </w:r>
          </w:p>
        </w:tc>
        <w:tc>
          <w:tcPr>
            <w:tcW w:w="2285" w:type="dxa"/>
            <w:tcBorders/>
            <w:vAlign w:val="center"/>
          </w:tcPr>
          <w:p>
            <w:pPr>
              <w:pStyle w:val="TableContents"/>
              <w:bidi w:val="0"/>
              <w:spacing w:before="0" w:after="283"/>
              <w:jc w:val="both"/>
              <w:rPr/>
            </w:pPr>
            <w:r>
              <w:rPr/>
              <w:t>Chief Executive Officer</w:t>
            </w:r>
          </w:p>
        </w:tc>
        <w:tc>
          <w:tcPr>
            <w:tcW w:w="75" w:type="dxa"/>
            <w:tcBorders/>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sectPr>
      <w:type w:val="nextPage"/>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 w:name="Times New Roman">
    <w:altName w:val="Times"/>
    <w:charset w:val="01"/>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Tahoma"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TextBody">
    <w:name w:val="Body Text"/>
    <w:basedOn w:val="Normal"/>
    <w:pPr>
      <w:spacing w:before="0" w:after="283"/>
    </w:pPr>
    <w:rPr/>
  </w:style>
  <w:style w:type="paragraph" w:styleId="Sender">
    <w:name w:val="Envelope Return"/>
    <w:basedOn w:val="Normal"/>
    <w:pPr/>
    <w:rPr>
      <w:i/>
    </w:rPr>
  </w:style>
  <w:style w:type="paragraph" w:styleId="TableContents">
    <w:name w:val="Table Contents"/>
    <w:basedOn w:val="TextBody"/>
    <w:qFormat/>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2</Pages>
  <Words>260</Words>
  <Characters>1409</Characters>
  <CharactersWithSpaces>1670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