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8-K</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CURRENT REPORT</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Pursuant to Section 13 or 15(d) of the Securities Exchange Act of 1934</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Date of Report (date of earliest event reported): </w:t>
      </w:r>
      <w:r>
        <w:rPr>
          <w:rFonts w:ascii="Times New Roman" w:cs="Times New Roman" w:eastAsia="Times New Roman" w:hAnsi="Times New Roman"/>
          <w:sz w:val="18"/>
          <w:szCs w:val="18"/>
          <w:b w:val="1"/>
          <w:bCs w:val="1"/>
          <w:color w:val="auto"/>
        </w:rPr>
        <w:t>January 1, 2026</w:t>
      </w:r>
    </w:p>
    <w:p>
      <w:pPr>
        <w:spacing w:after="0" w:line="2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u w:val="single" w:color="auto"/>
          <w:color w:val="auto"/>
        </w:rPr>
        <w:t>NOCERA, INC.</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charter)</w:t>
      </w:r>
    </w:p>
    <w:p>
      <w:pPr>
        <w:spacing w:after="0" w:line="201" w:lineRule="exact"/>
        <w:rPr>
          <w:sz w:val="24"/>
          <w:szCs w:val="24"/>
          <w:color w:val="auto"/>
        </w:rPr>
      </w:pPr>
    </w:p>
    <w:tbl>
      <w:tblPr>
        <w:tblLayout w:type="fixed"/>
        <w:tblInd w:w="0" w:type="dxa"/>
        <w:tblCellMar>
          <w:top w:w="0" w:type="dxa"/>
          <w:left w:w="0" w:type="dxa"/>
          <w:bottom w:w="0" w:type="dxa"/>
          <w:right w:w="0" w:type="dxa"/>
        </w:tblCellMar>
      </w:tblPr>
      <w:tr>
        <w:trPr>
          <w:trHeight w:val="245"/>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Nevada</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001-41434</w:t>
            </w:r>
          </w:p>
        </w:tc>
        <w:tc>
          <w:tcPr>
            <w:tcW w:w="200" w:type="dxa"/>
            <w:vAlign w:val="bottom"/>
          </w:tcPr>
          <w:p>
            <w:pPr>
              <w:spacing w:after="0"/>
              <w:rPr>
                <w:sz w:val="21"/>
                <w:szCs w:val="21"/>
                <w:color w:val="auto"/>
              </w:rPr>
            </w:pP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16-1626611</w:t>
            </w:r>
          </w:p>
        </w:tc>
      </w:tr>
      <w:tr>
        <w:trPr>
          <w:trHeight w:val="198"/>
        </w:trPr>
        <w:tc>
          <w:tcPr>
            <w:tcW w:w="362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(State or other jurisdiction</w:t>
            </w:r>
          </w:p>
        </w:tc>
        <w:tc>
          <w:tcPr>
            <w:tcW w:w="22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w w:val="98"/>
              </w:rPr>
              <w:t>(Commission</w:t>
            </w:r>
          </w:p>
        </w:tc>
        <w:tc>
          <w:tcPr>
            <w:tcW w:w="20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(IRS Employer</w:t>
            </w:r>
          </w:p>
        </w:tc>
      </w:tr>
      <w:tr>
        <w:trPr>
          <w:trHeight w:val="234"/>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w w:val="99"/>
              </w:rPr>
              <w:t>of incorporation)</w:t>
            </w:r>
          </w:p>
        </w:tc>
        <w:tc>
          <w:tcPr>
            <w:tcW w:w="38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8"/>
              </w:rPr>
              <w:t>File Number)</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Identification No.)</w:t>
            </w:r>
          </w:p>
        </w:tc>
      </w:tr>
    </w:tbl>
    <w:p>
      <w:pPr>
        <w:spacing w:after="0" w:line="19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3F (Building B), No. 185, Sec. 1, Datong Rd., Xizhi Dist., New Taipei City Taiwan 221, ROC</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of principal executive offices and zip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(886) 910-163-358</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(Registrant’s telephone number, including area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N/A</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(Former name or former address, if changed since last report)</w:t>
      </w:r>
    </w:p>
    <w:p>
      <w:pPr>
        <w:spacing w:after="0" w:line="207" w:lineRule="exact"/>
        <w:rPr>
          <w:sz w:val="24"/>
          <w:szCs w:val="24"/>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Check the appropriate box below if the Form 8-K filing is intended to simultaneously satisfy the filing obligation of registrant under any of the following provisions:</w:t>
      </w:r>
    </w:p>
    <w:p>
      <w:pPr>
        <w:spacing w:after="0" w:line="162" w:lineRule="exact"/>
        <w:rPr>
          <w:sz w:val="24"/>
          <w:szCs w:val="24"/>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Written communications pursuant to Rule 425 under the Securities Act (17 CFR 230.425)</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Soliciting material pursuant to Rule 14a-12 under the Exchange Act (17 CFR 240.14a-12)</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14d-2(b) under the Exchange Act (17 CFR 240.14d-2(b))</w:t>
      </w:r>
    </w:p>
    <w:p>
      <w:pPr>
        <w:spacing w:after="0" w:line="225" w:lineRule="exact"/>
        <w:rPr>
          <w:rFonts w:ascii="MS PGothic" w:cs="MS PGothic" w:eastAsia="MS PGothic" w:hAnsi="MS PGothic"/>
          <w:sz w:val="18"/>
          <w:szCs w:val="18"/>
          <w:color w:val="auto"/>
        </w:rPr>
      </w:pPr>
    </w:p>
    <w:p>
      <w:pPr>
        <w:ind w:right="2980" w:firstLine="8"/>
        <w:spacing w:after="0" w:line="498" w:lineRule="auto"/>
        <w:tabs>
          <w:tab w:leader="none" w:pos="207"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13e-4(c) under the Exchange Act (17 CFR 240.13e-4(c)) Securities registered pursuant to Section 12(b) of the Act: None</w:t>
      </w:r>
    </w:p>
    <w:p>
      <w:pPr>
        <w:spacing w:after="0" w:line="1" w:lineRule="exact"/>
        <w:rPr>
          <w:sz w:val="24"/>
          <w:szCs w:val="24"/>
          <w:color w:val="auto"/>
        </w:rPr>
      </w:pPr>
    </w:p>
    <w:tbl>
      <w:tblPr>
        <w:tblLayout w:type="fixed"/>
        <w:tblInd w:w="0" w:type="dxa"/>
        <w:tblCellMar>
          <w:top w:w="0" w:type="dxa"/>
          <w:left w:w="0" w:type="dxa"/>
          <w:bottom w:w="0" w:type="dxa"/>
          <w:right w:w="0" w:type="dxa"/>
        </w:tblCellMar>
      </w:tblPr>
      <w:tr>
        <w:trPr>
          <w:trHeight w:val="238"/>
        </w:trPr>
        <w:tc>
          <w:tcPr>
            <w:tcW w:w="43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Title of each class</w:t>
            </w:r>
          </w:p>
        </w:tc>
        <w:tc>
          <w:tcPr>
            <w:tcW w:w="24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Trading Symbol</w:t>
            </w:r>
          </w:p>
        </w:tc>
        <w:tc>
          <w:tcPr>
            <w:tcW w:w="44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Name of each exchange on which registered</w:t>
            </w:r>
          </w:p>
        </w:tc>
      </w:tr>
      <w:tr>
        <w:trPr>
          <w:trHeight w:val="228"/>
        </w:trPr>
        <w:tc>
          <w:tcPr>
            <w:tcW w:w="4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Common Stock, par value $0.001 per share</w:t>
            </w:r>
          </w:p>
        </w:tc>
        <w:tc>
          <w:tcPr>
            <w:tcW w:w="24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NCRA</w:t>
            </w:r>
          </w:p>
        </w:tc>
        <w:tc>
          <w:tcPr>
            <w:tcW w:w="44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The Nasdaq Stock Market LLC</w:t>
            </w:r>
          </w:p>
        </w:tc>
      </w:tr>
    </w:tbl>
    <w:p>
      <w:pPr>
        <w:spacing w:after="0" w:line="179" w:lineRule="exact"/>
        <w:rPr>
          <w:sz w:val="24"/>
          <w:szCs w:val="24"/>
          <w:color w:val="auto"/>
        </w:rPr>
      </w:pPr>
    </w:p>
    <w:p>
      <w:pPr>
        <w:jc w:val="both"/>
        <w:ind w:right="20"/>
        <w:spacing w:after="0" w:line="258" w:lineRule="auto"/>
        <w:rPr>
          <w:sz w:val="20"/>
          <w:szCs w:val="20"/>
          <w:color w:val="auto"/>
        </w:rPr>
      </w:pPr>
      <w:r>
        <w:rPr>
          <w:rFonts w:ascii="Times New Roman" w:cs="Times New Roman" w:eastAsia="Times New Roman" w:hAnsi="Times New Roman"/>
          <w:sz w:val="18"/>
          <w:szCs w:val="18"/>
          <w:color w:val="auto"/>
        </w:rPr>
        <w:t>Indicate by check mark whether the registrant is an emerging growth company as defined in Rule 405 of the Securities Act of 1933 (§230.405 of this chapter) or Rule 12b-2 of the Securities Exchange Act of 1934 (§240.12b-2 of this chapter)</w:t>
      </w:r>
    </w:p>
    <w:p>
      <w:pPr>
        <w:ind w:left="9060"/>
        <w:spacing w:after="0" w:line="196" w:lineRule="exact"/>
        <w:rPr>
          <w:sz w:val="20"/>
          <w:szCs w:val="20"/>
          <w:color w:val="auto"/>
        </w:rPr>
      </w:pPr>
      <w:r>
        <w:rPr>
          <w:rFonts w:ascii="Times New Roman" w:cs="Times New Roman" w:eastAsia="Times New Roman" w:hAnsi="Times New Roman"/>
          <w:sz w:val="17"/>
          <w:szCs w:val="17"/>
          <w:color w:val="auto"/>
        </w:rPr>
        <w:t xml:space="preserve">Emerging growth company </w:t>
      </w:r>
      <w:r>
        <w:rPr>
          <w:rFonts w:ascii="MS PGothic" w:cs="MS PGothic" w:eastAsia="MS PGothic" w:hAnsi="MS PGothic"/>
          <w:sz w:val="17"/>
          <w:szCs w:val="17"/>
          <w:color w:val="auto"/>
        </w:rPr>
        <w:t>☒</w:t>
      </w:r>
    </w:p>
    <w:p>
      <w:pPr>
        <w:spacing w:after="0" w:line="223" w:lineRule="exact"/>
        <w:rPr>
          <w:sz w:val="24"/>
          <w:szCs w:val="24"/>
          <w:color w:val="auto"/>
        </w:rPr>
      </w:pPr>
    </w:p>
    <w:p>
      <w:pPr>
        <w:jc w:val="both"/>
        <w:spacing w:after="0" w:line="293"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635000</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5" w:right="339" w:bottom="1440"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18"/>
          <w:szCs w:val="18"/>
          <w:b w:val="1"/>
          <w:bCs w:val="1"/>
          <w:color w:val="auto"/>
        </w:rPr>
        <w:t>Item 2.01. Completion of Acquisition or Disposition of Assets.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Closing of Meixin Transaction</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December 1, 2025, Nocera, Inc. (the “Company”) entered into an Equity Transfer Agreement (the “Equity Transfer Agreement”) with Yinuo Investment Consulting Co., Limited (the “Buyer”), pursuant to which the Company agreed to sell eighty percent (80%) of its variable interest entity equity interests in Meixin Institutional Food Development Co., Ltd., a Taiwan corporation engaged in the food processing and catering business (“Meixin”), as previously disclosed in the Company’s Current Report on Form 8-K filed on December 2, 2025.</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January 1, 2026, the Company completed the closing of the transaction contemplated by the Equity Transfer Agreement. Upon closing, the Company received the full purchase price of $420,000 and transferred 80% of its variable interest entity equity interests in Meixin to the Buyer.</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Closing of Longwool Transaction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December 1, 2025, the Company entered into a Stock Purchase Agreement with LONGWOOL, a French corporation (société par actions simplifiée, or SAS), pursuant to which the Company agreed to acquire equity securities representing thirty-five percent (35%) of LONGWOOL’s outstanding equity, as previously disclosed in the Company’s Current Report on Form 8-K filed on December 5, 2025.</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January 1, 2026, the Company completed the closing of the transaction contemplated by the Stock Purchase Agreement. Upon closing, the Company paid the purchase price of $400,000 and acquired 35% of the outstanding equity of LONGWOOL.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008" w:right="339" w:bottom="1440" w:gutter="0" w:footer="0" w:header="0"/>
        </w:sectPr>
      </w:pPr>
    </w:p>
    <w:bookmarkStart w:id="2" w:name="page3"/>
    <w:bookmarkEnd w:id="2"/>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hereunto duly authorized.</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600" w:type="dxa"/>
            <w:vAlign w:val="bottom"/>
          </w:tcPr>
          <w:p>
            <w:pPr>
              <w:spacing w:after="0"/>
              <w:rPr>
                <w:sz w:val="20"/>
                <w:szCs w:val="20"/>
                <w:color w:val="auto"/>
              </w:rPr>
            </w:pPr>
          </w:p>
        </w:tc>
        <w:tc>
          <w:tcPr>
            <w:tcW w:w="4180" w:type="dxa"/>
            <w:vAlign w:val="bottom"/>
            <w:gridSpan w:val="3"/>
          </w:tcPr>
          <w:p>
            <w:pPr>
              <w:ind w:left="2020"/>
              <w:spacing w:after="0"/>
              <w:rPr>
                <w:sz w:val="20"/>
                <w:szCs w:val="20"/>
                <w:color w:val="auto"/>
              </w:rPr>
            </w:pPr>
            <w:r>
              <w:rPr>
                <w:rFonts w:ascii="Times New Roman" w:cs="Times New Roman" w:eastAsia="Times New Roman" w:hAnsi="Times New Roman"/>
                <w:sz w:val="18"/>
                <w:szCs w:val="18"/>
                <w:b w:val="1"/>
                <w:bCs w:val="1"/>
                <w:color w:val="auto"/>
              </w:rPr>
              <w:t>NOCERA, INC.</w:t>
            </w:r>
          </w:p>
        </w:tc>
      </w:tr>
      <w:tr>
        <w:trPr>
          <w:trHeight w:val="608"/>
        </w:trPr>
        <w:tc>
          <w:tcPr>
            <w:tcW w:w="3600" w:type="dxa"/>
            <w:vAlign w:val="bottom"/>
          </w:tcPr>
          <w:p>
            <w:pPr>
              <w:spacing w:after="0"/>
              <w:rPr>
                <w:sz w:val="20"/>
                <w:szCs w:val="20"/>
                <w:color w:val="auto"/>
              </w:rPr>
            </w:pPr>
            <w:r>
              <w:rPr>
                <w:rFonts w:ascii="Times New Roman" w:cs="Times New Roman" w:eastAsia="Times New Roman" w:hAnsi="Times New Roman"/>
                <w:sz w:val="18"/>
                <w:szCs w:val="18"/>
                <w:color w:val="auto"/>
              </w:rPr>
              <w:t>Date: January 5, 2026</w:t>
            </w:r>
          </w:p>
        </w:tc>
        <w:tc>
          <w:tcPr>
            <w:tcW w:w="4180" w:type="dxa"/>
            <w:vAlign w:val="bottom"/>
            <w:gridSpan w:val="3"/>
          </w:tcPr>
          <w:p>
            <w:pPr>
              <w:ind w:left="2020"/>
              <w:spacing w:after="0"/>
              <w:rPr>
                <w:sz w:val="20"/>
                <w:szCs w:val="20"/>
                <w:color w:val="auto"/>
              </w:rPr>
            </w:pPr>
            <w:r>
              <w:rPr>
                <w:rFonts w:ascii="Times New Roman" w:cs="Times New Roman" w:eastAsia="Times New Roman" w:hAnsi="Times New Roman"/>
                <w:sz w:val="18"/>
                <w:szCs w:val="18"/>
                <w:color w:val="auto"/>
              </w:rPr>
              <w:t xml:space="preserve">By: </w:t>
            </w:r>
            <w:r>
              <w:rPr>
                <w:rFonts w:ascii="Times New Roman" w:cs="Times New Roman" w:eastAsia="Times New Roman" w:hAnsi="Times New Roman"/>
                <w:sz w:val="18"/>
                <w:szCs w:val="18"/>
                <w:i w:val="1"/>
                <w:iCs w:val="1"/>
                <w:color w:val="auto"/>
              </w:rPr>
              <w:t>/s/ Andy Ching-An Jin</w:t>
            </w:r>
          </w:p>
        </w:tc>
      </w:tr>
      <w:tr>
        <w:trPr>
          <w:trHeight w:val="20"/>
        </w:trPr>
        <w:tc>
          <w:tcPr>
            <w:tcW w:w="360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16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218"/>
        </w:trPr>
        <w:tc>
          <w:tcPr>
            <w:tcW w:w="3600" w:type="dxa"/>
            <w:vAlign w:val="bottom"/>
          </w:tcPr>
          <w:p>
            <w:pPr>
              <w:spacing w:after="0"/>
              <w:rPr>
                <w:sz w:val="18"/>
                <w:szCs w:val="18"/>
                <w:color w:val="auto"/>
              </w:rPr>
            </w:pPr>
          </w:p>
        </w:tc>
        <w:tc>
          <w:tcPr>
            <w:tcW w:w="4180" w:type="dxa"/>
            <w:vAlign w:val="bottom"/>
            <w:gridSpan w:val="3"/>
          </w:tcPr>
          <w:p>
            <w:pPr>
              <w:ind w:left="2020"/>
              <w:spacing w:after="0"/>
              <w:rPr>
                <w:sz w:val="20"/>
                <w:szCs w:val="20"/>
                <w:color w:val="auto"/>
              </w:rPr>
            </w:pPr>
            <w:r>
              <w:rPr>
                <w:rFonts w:ascii="Times New Roman" w:cs="Times New Roman" w:eastAsia="Times New Roman" w:hAnsi="Times New Roman"/>
                <w:sz w:val="18"/>
                <w:szCs w:val="18"/>
                <w:color w:val="auto"/>
              </w:rPr>
              <w:t>Name: Andy Ching-An Jin</w:t>
            </w:r>
          </w:p>
        </w:tc>
      </w:tr>
      <w:tr>
        <w:trPr>
          <w:trHeight w:val="234"/>
        </w:trPr>
        <w:tc>
          <w:tcPr>
            <w:tcW w:w="3600" w:type="dxa"/>
            <w:vAlign w:val="bottom"/>
          </w:tcPr>
          <w:p>
            <w:pPr>
              <w:spacing w:after="0"/>
              <w:rPr>
                <w:sz w:val="20"/>
                <w:szCs w:val="20"/>
                <w:color w:val="auto"/>
              </w:rPr>
            </w:pPr>
          </w:p>
        </w:tc>
        <w:tc>
          <w:tcPr>
            <w:tcW w:w="4180" w:type="dxa"/>
            <w:vAlign w:val="bottom"/>
            <w:gridSpan w:val="3"/>
          </w:tcPr>
          <w:p>
            <w:pPr>
              <w:ind w:left="2020"/>
              <w:spacing w:after="0"/>
              <w:rPr>
                <w:sz w:val="20"/>
                <w:szCs w:val="20"/>
                <w:color w:val="auto"/>
              </w:rPr>
            </w:pPr>
            <w:r>
              <w:rPr>
                <w:rFonts w:ascii="Times New Roman" w:cs="Times New Roman" w:eastAsia="Times New Roman" w:hAnsi="Times New Roman"/>
                <w:sz w:val="18"/>
                <w:szCs w:val="18"/>
                <w:color w:val="auto"/>
                <w:w w:val="98"/>
              </w:rPr>
              <w:t>Title: Chief Executive Officer</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1008"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2026-01-05T16:03:06Z</dcterms:created>
  <dcterms:modified xsi:type="dcterms:W3CDTF">2026-01-05T16:03:06Z</dcterms:modified>
</cp:coreProperties>
</file>