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8-K</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July 27, 2023</w:t>
      </w:r>
    </w:p>
    <w:p>
      <w:pPr>
        <w:spacing w:after="0" w:line="216" w:lineRule="exact"/>
        <w:rPr>
          <w:sz w:val="24"/>
          <w:szCs w:val="24"/>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NOCERA, INC.</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charter)</w:t>
      </w:r>
    </w:p>
    <w:p>
      <w:pPr>
        <w:spacing w:after="0" w:line="205" w:lineRule="exact"/>
        <w:rPr>
          <w:sz w:val="24"/>
          <w:szCs w:val="24"/>
          <w:color w:val="auto"/>
        </w:rPr>
      </w:pPr>
    </w:p>
    <w:tbl>
      <w:tblPr>
        <w:tblLayout w:type="fixed"/>
        <w:tblInd w:w="0" w:type="dxa"/>
        <w:tblCellMar>
          <w:top w:w="0" w:type="dxa"/>
          <w:left w:w="0" w:type="dxa"/>
          <w:bottom w:w="0" w:type="dxa"/>
          <w:right w:w="0" w:type="dxa"/>
        </w:tblCellMar>
      </w:tblPr>
      <w:tr>
        <w:trPr>
          <w:trHeight w:val="241"/>
        </w:trPr>
        <w:tc>
          <w:tcPr>
            <w:tcW w:w="3380" w:type="dxa"/>
            <w:vAlign w:val="bottom"/>
          </w:tcPr>
          <w:p>
            <w:pPr>
              <w:jc w:val="center"/>
              <w:spacing w:after="0"/>
              <w:rPr>
                <w:sz w:val="20"/>
                <w:szCs w:val="20"/>
                <w:color w:val="auto"/>
              </w:rPr>
            </w:pPr>
            <w:r>
              <w:rPr>
                <w:rFonts w:ascii="Arial" w:cs="Arial" w:eastAsia="Arial" w:hAnsi="Arial"/>
                <w:sz w:val="18"/>
                <w:szCs w:val="18"/>
                <w:b w:val="1"/>
                <w:bCs w:val="1"/>
                <w:color w:val="auto"/>
                <w:w w:val="90"/>
              </w:rPr>
              <w:t>Nevada</w:t>
            </w:r>
          </w:p>
        </w:tc>
        <w:tc>
          <w:tcPr>
            <w:tcW w:w="3940" w:type="dxa"/>
            <w:vAlign w:val="bottom"/>
            <w:gridSpan w:val="2"/>
          </w:tcPr>
          <w:p>
            <w:pPr>
              <w:jc w:val="center"/>
              <w:ind w:left="470"/>
              <w:spacing w:after="0"/>
              <w:rPr>
                <w:sz w:val="20"/>
                <w:szCs w:val="20"/>
                <w:color w:val="auto"/>
              </w:rPr>
            </w:pPr>
            <w:r>
              <w:rPr>
                <w:rFonts w:ascii="Arial" w:cs="Arial" w:eastAsia="Arial" w:hAnsi="Arial"/>
                <w:sz w:val="18"/>
                <w:szCs w:val="18"/>
                <w:b w:val="1"/>
                <w:bCs w:val="1"/>
                <w:color w:val="auto"/>
                <w:w w:val="90"/>
              </w:rPr>
              <w:t>001-41434</w:t>
            </w:r>
          </w:p>
        </w:tc>
        <w:tc>
          <w:tcPr>
            <w:tcW w:w="3920" w:type="dxa"/>
            <w:vAlign w:val="bottom"/>
            <w:gridSpan w:val="2"/>
          </w:tcPr>
          <w:p>
            <w:pPr>
              <w:jc w:val="center"/>
              <w:ind w:left="450"/>
              <w:spacing w:after="0"/>
              <w:rPr>
                <w:sz w:val="20"/>
                <w:szCs w:val="20"/>
                <w:color w:val="auto"/>
              </w:rPr>
            </w:pPr>
            <w:r>
              <w:rPr>
                <w:rFonts w:ascii="Arial" w:cs="Arial" w:eastAsia="Arial" w:hAnsi="Arial"/>
                <w:sz w:val="18"/>
                <w:szCs w:val="18"/>
                <w:b w:val="1"/>
                <w:bCs w:val="1"/>
                <w:color w:val="auto"/>
                <w:w w:val="89"/>
              </w:rPr>
              <w:t>16-1626611</w:t>
            </w:r>
          </w:p>
        </w:tc>
      </w:tr>
      <w:tr>
        <w:trPr>
          <w:trHeight w:val="202"/>
        </w:trPr>
        <w:tc>
          <w:tcPr>
            <w:tcW w:w="338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92"/>
              </w:rPr>
              <w:t>(State or other jurisdiction</w:t>
            </w:r>
          </w:p>
        </w:tc>
        <w:tc>
          <w:tcPr>
            <w:tcW w:w="560" w:type="dxa"/>
            <w:vAlign w:val="bottom"/>
          </w:tcPr>
          <w:p>
            <w:pPr>
              <w:spacing w:after="0"/>
              <w:rPr>
                <w:sz w:val="17"/>
                <w:szCs w:val="17"/>
                <w:color w:val="auto"/>
              </w:rPr>
            </w:pPr>
          </w:p>
        </w:tc>
        <w:tc>
          <w:tcPr>
            <w:tcW w:w="338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91"/>
              </w:rPr>
              <w:t>(Commission</w:t>
            </w:r>
          </w:p>
        </w:tc>
        <w:tc>
          <w:tcPr>
            <w:tcW w:w="540" w:type="dxa"/>
            <w:vAlign w:val="bottom"/>
          </w:tcPr>
          <w:p>
            <w:pPr>
              <w:spacing w:after="0"/>
              <w:rPr>
                <w:sz w:val="17"/>
                <w:szCs w:val="17"/>
                <w:color w:val="auto"/>
              </w:rPr>
            </w:pPr>
          </w:p>
        </w:tc>
        <w:tc>
          <w:tcPr>
            <w:tcW w:w="338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93"/>
              </w:rPr>
              <w:t>(IRS Employer</w:t>
            </w:r>
          </w:p>
        </w:tc>
      </w:tr>
      <w:tr>
        <w:trPr>
          <w:trHeight w:val="230"/>
        </w:trPr>
        <w:tc>
          <w:tcPr>
            <w:tcW w:w="3380" w:type="dxa"/>
            <w:vAlign w:val="bottom"/>
          </w:tcPr>
          <w:p>
            <w:pPr>
              <w:jc w:val="center"/>
              <w:spacing w:after="0"/>
              <w:rPr>
                <w:sz w:val="20"/>
                <w:szCs w:val="20"/>
                <w:color w:val="auto"/>
              </w:rPr>
            </w:pPr>
            <w:r>
              <w:rPr>
                <w:rFonts w:ascii="Arial" w:cs="Arial" w:eastAsia="Arial" w:hAnsi="Arial"/>
                <w:sz w:val="18"/>
                <w:szCs w:val="18"/>
                <w:color w:val="auto"/>
                <w:w w:val="93"/>
              </w:rPr>
              <w:t>of incorporation)</w:t>
            </w:r>
          </w:p>
        </w:tc>
        <w:tc>
          <w:tcPr>
            <w:tcW w:w="560" w:type="dxa"/>
            <w:vAlign w:val="bottom"/>
          </w:tcPr>
          <w:p>
            <w:pPr>
              <w:spacing w:after="0"/>
              <w:rPr>
                <w:sz w:val="20"/>
                <w:szCs w:val="20"/>
                <w:color w:val="auto"/>
              </w:rPr>
            </w:pPr>
          </w:p>
        </w:tc>
        <w:tc>
          <w:tcPr>
            <w:tcW w:w="3380" w:type="dxa"/>
            <w:vAlign w:val="bottom"/>
          </w:tcPr>
          <w:p>
            <w:pPr>
              <w:jc w:val="center"/>
              <w:spacing w:after="0"/>
              <w:rPr>
                <w:sz w:val="20"/>
                <w:szCs w:val="20"/>
                <w:color w:val="auto"/>
              </w:rPr>
            </w:pPr>
            <w:r>
              <w:rPr>
                <w:rFonts w:ascii="Arial" w:cs="Arial" w:eastAsia="Arial" w:hAnsi="Arial"/>
                <w:sz w:val="18"/>
                <w:szCs w:val="18"/>
                <w:color w:val="auto"/>
                <w:w w:val="94"/>
              </w:rPr>
              <w:t>File Number)</w:t>
            </w:r>
          </w:p>
        </w:tc>
        <w:tc>
          <w:tcPr>
            <w:tcW w:w="540" w:type="dxa"/>
            <w:vAlign w:val="bottom"/>
          </w:tcPr>
          <w:p>
            <w:pPr>
              <w:spacing w:after="0"/>
              <w:rPr>
                <w:sz w:val="20"/>
                <w:szCs w:val="20"/>
                <w:color w:val="auto"/>
              </w:rPr>
            </w:pPr>
          </w:p>
        </w:tc>
        <w:tc>
          <w:tcPr>
            <w:tcW w:w="3380" w:type="dxa"/>
            <w:vAlign w:val="bottom"/>
          </w:tcPr>
          <w:p>
            <w:pPr>
              <w:jc w:val="center"/>
              <w:spacing w:after="0"/>
              <w:rPr>
                <w:sz w:val="20"/>
                <w:szCs w:val="20"/>
                <w:color w:val="auto"/>
              </w:rPr>
            </w:pPr>
            <w:r>
              <w:rPr>
                <w:rFonts w:ascii="Arial" w:cs="Arial" w:eastAsia="Arial" w:hAnsi="Arial"/>
                <w:sz w:val="18"/>
                <w:szCs w:val="18"/>
                <w:color w:val="auto"/>
                <w:w w:val="95"/>
              </w:rPr>
              <w:t>Identification No.)</w:t>
            </w: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3F (Building B), No. 185, Sec. 1, Datong Rd., Xizhi Dist., New Taipei City Taiwan 221, ROC</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 and zip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(886) 910-163-358</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11" w:lineRule="exact"/>
        <w:rPr>
          <w:sz w:val="24"/>
          <w:szCs w:val="24"/>
          <w:color w:val="auto"/>
        </w:rPr>
      </w:pPr>
    </w:p>
    <w:p>
      <w:pPr>
        <w:jc w:val="both"/>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registrant under any of the following provisions:</w:t>
      </w:r>
    </w:p>
    <w:p>
      <w:pPr>
        <w:spacing w:after="0" w:line="170"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3000" w:firstLine="8"/>
        <w:spacing w:after="0" w:line="498" w:lineRule="auto"/>
        <w:tabs>
          <w:tab w:leader="none" w:pos="207"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 None</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220" w:type="dxa"/>
            <w:vAlign w:val="bottom"/>
            <w:tcBorders>
              <w:bottom w:val="single" w:sz="8" w:color="auto"/>
            </w:tcBorders>
          </w:tcPr>
          <w:p>
            <w:pPr>
              <w:jc w:val="center"/>
              <w:ind w:right="370"/>
              <w:spacing w:after="0"/>
              <w:rPr>
                <w:sz w:val="20"/>
                <w:szCs w:val="20"/>
                <w:color w:val="auto"/>
              </w:rPr>
            </w:pPr>
            <w:r>
              <w:rPr>
                <w:rFonts w:ascii="Arial" w:cs="Arial" w:eastAsia="Arial" w:hAnsi="Arial"/>
                <w:sz w:val="18"/>
                <w:szCs w:val="18"/>
                <w:b w:val="1"/>
                <w:bCs w:val="1"/>
                <w:color w:val="auto"/>
                <w:w w:val="87"/>
              </w:rPr>
              <w:t>Title of each class</w:t>
            </w:r>
          </w:p>
        </w:tc>
        <w:tc>
          <w:tcPr>
            <w:tcW w:w="27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Trading Symbol</w:t>
            </w:r>
          </w:p>
        </w:tc>
        <w:tc>
          <w:tcPr>
            <w:tcW w:w="4260" w:type="dxa"/>
            <w:vAlign w:val="bottom"/>
            <w:tcBorders>
              <w:bottom w:val="single" w:sz="8" w:color="auto"/>
            </w:tcBorders>
          </w:tcPr>
          <w:p>
            <w:pPr>
              <w:jc w:val="center"/>
              <w:ind w:left="430"/>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24"/>
        </w:trPr>
        <w:tc>
          <w:tcPr>
            <w:tcW w:w="4220" w:type="dxa"/>
            <w:vAlign w:val="bottom"/>
          </w:tcPr>
          <w:p>
            <w:pPr>
              <w:jc w:val="center"/>
              <w:ind w:right="370"/>
              <w:spacing w:after="0"/>
              <w:rPr>
                <w:sz w:val="20"/>
                <w:szCs w:val="20"/>
                <w:color w:val="auto"/>
              </w:rPr>
            </w:pPr>
            <w:r>
              <w:rPr>
                <w:rFonts w:ascii="Arial" w:cs="Arial" w:eastAsia="Arial" w:hAnsi="Arial"/>
                <w:sz w:val="18"/>
                <w:szCs w:val="18"/>
                <w:color w:val="auto"/>
                <w:w w:val="89"/>
              </w:rPr>
              <w:t>Common Stock, par value $0.001 per share</w:t>
            </w:r>
          </w:p>
        </w:tc>
        <w:tc>
          <w:tcPr>
            <w:tcW w:w="2760" w:type="dxa"/>
            <w:vAlign w:val="bottom"/>
          </w:tcPr>
          <w:p>
            <w:pPr>
              <w:jc w:val="center"/>
              <w:spacing w:after="0"/>
              <w:rPr>
                <w:sz w:val="20"/>
                <w:szCs w:val="20"/>
                <w:color w:val="auto"/>
              </w:rPr>
            </w:pPr>
            <w:r>
              <w:rPr>
                <w:rFonts w:ascii="Arial" w:cs="Arial" w:eastAsia="Arial" w:hAnsi="Arial"/>
                <w:sz w:val="18"/>
                <w:szCs w:val="18"/>
                <w:color w:val="auto"/>
                <w:w w:val="97"/>
              </w:rPr>
              <w:t>NCRA</w:t>
            </w:r>
          </w:p>
        </w:tc>
        <w:tc>
          <w:tcPr>
            <w:tcW w:w="4260" w:type="dxa"/>
            <w:vAlign w:val="bottom"/>
          </w:tcPr>
          <w:p>
            <w:pPr>
              <w:jc w:val="center"/>
              <w:ind w:left="430"/>
              <w:spacing w:after="0"/>
              <w:rPr>
                <w:sz w:val="20"/>
                <w:szCs w:val="20"/>
                <w:color w:val="auto"/>
              </w:rPr>
            </w:pPr>
            <w:r>
              <w:rPr>
                <w:rFonts w:ascii="Arial" w:cs="Arial" w:eastAsia="Arial" w:hAnsi="Arial"/>
                <w:sz w:val="18"/>
                <w:szCs w:val="18"/>
                <w:color w:val="auto"/>
                <w:w w:val="91"/>
              </w:rPr>
              <w:t>The Nasdaq Stock Market LLC</w:t>
            </w:r>
          </w:p>
        </w:tc>
      </w:tr>
    </w:tbl>
    <w:p>
      <w:pPr>
        <w:spacing w:after="0" w:line="187" w:lineRule="exact"/>
        <w:rPr>
          <w:sz w:val="24"/>
          <w:szCs w:val="24"/>
          <w:color w:val="auto"/>
        </w:rPr>
      </w:pPr>
    </w:p>
    <w:p>
      <w:pPr>
        <w:jc w:val="both"/>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26" w:lineRule="exact"/>
        <w:rPr>
          <w:sz w:val="24"/>
          <w:szCs w:val="24"/>
          <w:color w:val="auto"/>
        </w:rPr>
      </w:pPr>
    </w:p>
    <w:p>
      <w:pPr>
        <w:ind w:left="906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93" w:lineRule="exact"/>
        <w:rPr>
          <w:sz w:val="24"/>
          <w:szCs w:val="24"/>
          <w:color w:val="auto"/>
        </w:rPr>
      </w:pPr>
    </w:p>
    <w:p>
      <w:pPr>
        <w:jc w:val="both"/>
        <w:spacing w:after="0" w:line="291"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634365</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1" w:name="page2"/>
    <w:bookmarkEnd w:id="1"/>
    <w:p>
      <w:pPr>
        <w:jc w:val="both"/>
        <w:spacing w:after="0" w:line="282" w:lineRule="auto"/>
        <w:rPr>
          <w:sz w:val="20"/>
          <w:szCs w:val="20"/>
          <w:color w:val="auto"/>
        </w:rPr>
      </w:pPr>
      <w:r>
        <w:rPr>
          <w:rFonts w:ascii="Arial" w:cs="Arial" w:eastAsia="Arial" w:hAnsi="Arial"/>
          <w:sz w:val="18"/>
          <w:szCs w:val="18"/>
          <w:b w:val="1"/>
          <w:bCs w:val="1"/>
          <w:color w:val="auto"/>
        </w:rPr>
        <w:t>Item 5.02 Departure of Directors or Certain Officers; Election of Directors; Appointment of Certain Officers; Compensatory Arrangements of Certain Officers.</w:t>
      </w:r>
    </w:p>
    <w:p>
      <w:pPr>
        <w:spacing w:after="0" w:line="166"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On July 27, 2023, Cheng Lu Min Huay and Yih-Yu (“Grace”) Lei resigned as members of the board of directors of Nocera, Inc. (the “Company”) Neither director’s resignation was the result of any disagreement with the Company on any matter relating to the Company’s operations, policies or practices. The Company’s board of directors is actively interviewing several candidates to serve as an independent member of the board of directors.</w:t>
      </w:r>
    </w:p>
    <w:p>
      <w:pPr>
        <w:spacing w:after="0" w:line="16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July 27, 2023, David Yu-Lung Kou resigned as the Acting Chief Executive Officer of the Company. Mr. Kou’s resignation was not a result of any disagreement with the Company on any matter relating to the Company’s operations, policies or practices. The Company’s board of directors is actively interviewing several candidates to serve as the Chief Executive Officer of the Company.</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32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8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20" w:type="dxa"/>
            <w:vAlign w:val="bottom"/>
          </w:tcPr>
          <w:p>
            <w:pPr>
              <w:spacing w:after="0"/>
              <w:rPr>
                <w:sz w:val="20"/>
                <w:szCs w:val="20"/>
                <w:color w:val="auto"/>
              </w:rPr>
            </w:pPr>
          </w:p>
        </w:tc>
        <w:tc>
          <w:tcPr>
            <w:tcW w:w="5320" w:type="dxa"/>
            <w:vAlign w:val="bottom"/>
            <w:gridSpan w:val="3"/>
          </w:tcPr>
          <w:p>
            <w:pPr>
              <w:ind w:left="2100"/>
              <w:spacing w:after="0"/>
              <w:rPr>
                <w:sz w:val="20"/>
                <w:szCs w:val="20"/>
                <w:color w:val="auto"/>
              </w:rPr>
            </w:pPr>
            <w:r>
              <w:rPr>
                <w:rFonts w:ascii="Arial" w:cs="Arial" w:eastAsia="Arial" w:hAnsi="Arial"/>
                <w:sz w:val="18"/>
                <w:szCs w:val="18"/>
                <w:b w:val="1"/>
                <w:bCs w:val="1"/>
                <w:color w:val="auto"/>
              </w:rPr>
              <w:t>NOCERA, INC.</w:t>
            </w:r>
          </w:p>
        </w:tc>
      </w:tr>
      <w:tr>
        <w:trPr>
          <w:trHeight w:val="392"/>
        </w:trPr>
        <w:tc>
          <w:tcPr>
            <w:tcW w:w="3520" w:type="dxa"/>
            <w:vAlign w:val="bottom"/>
          </w:tcPr>
          <w:p>
            <w:pPr>
              <w:spacing w:after="0"/>
              <w:rPr>
                <w:sz w:val="20"/>
                <w:szCs w:val="20"/>
                <w:color w:val="auto"/>
              </w:rPr>
            </w:pPr>
            <w:r>
              <w:rPr>
                <w:rFonts w:ascii="Arial" w:cs="Arial" w:eastAsia="Arial" w:hAnsi="Arial"/>
                <w:sz w:val="18"/>
                <w:szCs w:val="18"/>
                <w:color w:val="auto"/>
              </w:rPr>
              <w:t>Date: July 28, 2023</w:t>
            </w:r>
          </w:p>
        </w:tc>
        <w:tc>
          <w:tcPr>
            <w:tcW w:w="5320" w:type="dxa"/>
            <w:vAlign w:val="bottom"/>
            <w:gridSpan w:val="3"/>
          </w:tcPr>
          <w:p>
            <w:pPr>
              <w:ind w:left="2100"/>
              <w:spacing w:after="0"/>
              <w:rPr>
                <w:sz w:val="20"/>
                <w:szCs w:val="20"/>
                <w:color w:val="auto"/>
              </w:rPr>
            </w:pPr>
            <w:r>
              <w:rPr>
                <w:rFonts w:ascii="Arial" w:cs="Arial" w:eastAsia="Arial" w:hAnsi="Arial"/>
                <w:sz w:val="18"/>
                <w:szCs w:val="18"/>
                <w:color w:val="auto"/>
              </w:rPr>
              <w:t xml:space="preserve">By: </w:t>
            </w:r>
            <w:r>
              <w:rPr>
                <w:rFonts w:ascii="Arial" w:cs="Arial" w:eastAsia="Arial" w:hAnsi="Arial"/>
                <w:sz w:val="18"/>
                <w:szCs w:val="18"/>
                <w:i w:val="1"/>
                <w:iCs w:val="1"/>
                <w:color w:val="auto"/>
              </w:rPr>
              <w:t>/s/ Shun-Chih Chuang</w:t>
            </w:r>
          </w:p>
        </w:tc>
      </w:tr>
      <w:tr>
        <w:trPr>
          <w:trHeight w:val="20"/>
        </w:trPr>
        <w:tc>
          <w:tcPr>
            <w:tcW w:w="352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1600" w:type="dxa"/>
            <w:vAlign w:val="bottom"/>
            <w:shd w:val="clear" w:color="auto" w:fill="000000"/>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r>
      <w:tr>
        <w:trPr>
          <w:trHeight w:val="222"/>
        </w:trPr>
        <w:tc>
          <w:tcPr>
            <w:tcW w:w="3520" w:type="dxa"/>
            <w:vAlign w:val="bottom"/>
          </w:tcPr>
          <w:p>
            <w:pPr>
              <w:spacing w:after="0"/>
              <w:rPr>
                <w:sz w:val="19"/>
                <w:szCs w:val="19"/>
                <w:color w:val="auto"/>
              </w:rPr>
            </w:pPr>
          </w:p>
        </w:tc>
        <w:tc>
          <w:tcPr>
            <w:tcW w:w="5320" w:type="dxa"/>
            <w:vAlign w:val="bottom"/>
            <w:gridSpan w:val="3"/>
          </w:tcPr>
          <w:p>
            <w:pPr>
              <w:ind w:left="2100"/>
              <w:spacing w:after="0"/>
              <w:rPr>
                <w:sz w:val="20"/>
                <w:szCs w:val="20"/>
                <w:color w:val="auto"/>
              </w:rPr>
            </w:pPr>
            <w:r>
              <w:rPr>
                <w:rFonts w:ascii="Arial" w:cs="Arial" w:eastAsia="Arial" w:hAnsi="Arial"/>
                <w:sz w:val="18"/>
                <w:szCs w:val="18"/>
                <w:color w:val="auto"/>
              </w:rPr>
              <w:t>Name: Shun-Chih (Jimmy) Chuang</w:t>
            </w:r>
          </w:p>
        </w:tc>
      </w:tr>
      <w:tr>
        <w:trPr>
          <w:trHeight w:val="216"/>
        </w:trPr>
        <w:tc>
          <w:tcPr>
            <w:tcW w:w="3520" w:type="dxa"/>
            <w:vAlign w:val="bottom"/>
          </w:tcPr>
          <w:p>
            <w:pPr>
              <w:spacing w:after="0"/>
              <w:rPr>
                <w:sz w:val="18"/>
                <w:szCs w:val="18"/>
                <w:color w:val="auto"/>
              </w:rPr>
            </w:pPr>
          </w:p>
        </w:tc>
        <w:tc>
          <w:tcPr>
            <w:tcW w:w="5320" w:type="dxa"/>
            <w:vAlign w:val="bottom"/>
            <w:gridSpan w:val="3"/>
          </w:tcPr>
          <w:p>
            <w:pPr>
              <w:ind w:left="2100"/>
              <w:spacing w:after="0"/>
              <w:rPr>
                <w:sz w:val="20"/>
                <w:szCs w:val="20"/>
                <w:color w:val="auto"/>
              </w:rPr>
            </w:pPr>
            <w:r>
              <w:rPr>
                <w:rFonts w:ascii="Arial" w:cs="Arial" w:eastAsia="Arial" w:hAnsi="Arial"/>
                <w:sz w:val="18"/>
                <w:szCs w:val="18"/>
                <w:color w:val="auto"/>
              </w:rPr>
              <w:t>Title: Chief Financial Officer</w:t>
            </w:r>
          </w:p>
        </w:tc>
      </w:tr>
      <w:tr>
        <w:trPr>
          <w:trHeight w:val="230"/>
        </w:trPr>
        <w:tc>
          <w:tcPr>
            <w:tcW w:w="3520" w:type="dxa"/>
            <w:vAlign w:val="bottom"/>
          </w:tcPr>
          <w:p>
            <w:pPr>
              <w:spacing w:after="0"/>
              <w:rPr>
                <w:sz w:val="20"/>
                <w:szCs w:val="20"/>
                <w:color w:val="auto"/>
              </w:rPr>
            </w:pPr>
          </w:p>
        </w:tc>
        <w:tc>
          <w:tcPr>
            <w:tcW w:w="5320" w:type="dxa"/>
            <w:vAlign w:val="bottom"/>
            <w:gridSpan w:val="3"/>
          </w:tcPr>
          <w:p>
            <w:pPr>
              <w:ind w:left="2100"/>
              <w:spacing w:after="0"/>
              <w:rPr>
                <w:sz w:val="20"/>
                <w:szCs w:val="20"/>
                <w:color w:val="auto"/>
              </w:rPr>
            </w:pPr>
            <w:r>
              <w:rPr>
                <w:rFonts w:ascii="Arial" w:cs="Arial" w:eastAsia="Arial" w:hAnsi="Arial"/>
                <w:sz w:val="18"/>
                <w:szCs w:val="18"/>
                <w:color w:val="auto"/>
                <w:w w:val="92"/>
              </w:rPr>
              <w:t>(Principal Financial and Accounting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sectPr>
      <w:pgSz w:w="11900" w:h="16838" w:orient="portrait"/>
      <w:cols w:equalWidth="0" w:num="1">
        <w:col w:w="11240"/>
      </w:cols>
      <w:pgMar w:left="320" w:top="1012"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2023-07-28T14:43:45Z</dcterms:created>
  <dcterms:modified xsi:type="dcterms:W3CDTF">2023-07-28T14:43:45Z</dcterms:modified>
</cp:coreProperties>
</file>