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18"/>
          <w:szCs w:val="18"/>
          <w:b w:val="1"/>
          <w:bCs w:val="1"/>
          <w:color w:val="auto"/>
        </w:rPr>
        <w:t>UNITED STATES</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WASHINGTON, D.C. 20549</w:t>
      </w:r>
    </w:p>
    <w:p>
      <w:pPr>
        <w:spacing w:after="0" w:line="207"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60"/>
              <w:spacing w:after="0"/>
              <w:rPr>
                <w:sz w:val="20"/>
                <w:szCs w:val="20"/>
                <w:color w:val="auto"/>
              </w:rPr>
            </w:pPr>
            <w:r>
              <w:rPr>
                <w:rFonts w:ascii="Arial" w:cs="Arial" w:eastAsia="Arial" w:hAnsi="Arial"/>
                <w:sz w:val="18"/>
                <w:szCs w:val="18"/>
                <w:b w:val="1"/>
                <w:bCs w:val="1"/>
                <w:color w:val="auto"/>
              </w:rPr>
              <w:t>FORM 8-K</w:t>
            </w:r>
          </w:p>
        </w:tc>
        <w:tc>
          <w:tcPr>
            <w:tcW w:w="2640" w:type="dxa"/>
            <w:vAlign w:val="bottom"/>
          </w:tcPr>
          <w:p>
            <w:pPr>
              <w:spacing w:after="0"/>
              <w:rPr>
                <w:sz w:val="20"/>
                <w:szCs w:val="20"/>
                <w:color w:val="auto"/>
              </w:rPr>
            </w:pPr>
          </w:p>
        </w:tc>
      </w:tr>
      <w:tr>
        <w:trPr>
          <w:trHeight w:val="432"/>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60" w:type="dxa"/>
            <w:vAlign w:val="bottom"/>
            <w:gridSpan w:val="5"/>
          </w:tcPr>
          <w:p>
            <w:pPr>
              <w:jc w:val="center"/>
              <w:ind w:right="1300"/>
              <w:spacing w:after="0"/>
              <w:rPr>
                <w:sz w:val="20"/>
                <w:szCs w:val="20"/>
                <w:color w:val="auto"/>
              </w:rPr>
            </w:pPr>
            <w:r>
              <w:rPr>
                <w:rFonts w:ascii="Arial" w:cs="Arial" w:eastAsia="Arial" w:hAnsi="Arial"/>
                <w:sz w:val="18"/>
                <w:szCs w:val="18"/>
                <w:b w:val="1"/>
                <w:bCs w:val="1"/>
                <w:color w:val="auto"/>
                <w:w w:val="99"/>
              </w:rPr>
              <w:t>CURRENT REPORT</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Arial" w:cs="Arial" w:eastAsia="Arial" w:hAnsi="Arial"/>
                <w:sz w:val="18"/>
                <w:szCs w:val="18"/>
                <w:b w:val="1"/>
                <w:bCs w:val="1"/>
                <w:color w:val="auto"/>
                <w:w w:val="89"/>
              </w:rPr>
              <w:t>Pursuant to Section 13 or 15(d) of the Securities Exchange Act of 1934</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40"/>
              <w:spacing w:after="0"/>
              <w:rPr>
                <w:sz w:val="20"/>
                <w:szCs w:val="20"/>
                <w:color w:val="auto"/>
              </w:rPr>
            </w:pPr>
            <w:r>
              <w:rPr>
                <w:rFonts w:ascii="Arial" w:cs="Arial" w:eastAsia="Arial" w:hAnsi="Arial"/>
                <w:sz w:val="18"/>
                <w:szCs w:val="18"/>
                <w:color w:val="auto"/>
                <w:w w:val="89"/>
              </w:rPr>
              <w:t xml:space="preserve">Date of Report (date of earliest event reported): </w:t>
            </w:r>
            <w:r>
              <w:rPr>
                <w:rFonts w:ascii="Arial" w:cs="Arial" w:eastAsia="Arial" w:hAnsi="Arial"/>
                <w:sz w:val="18"/>
                <w:szCs w:val="18"/>
                <w:b w:val="1"/>
                <w:bCs w:val="1"/>
                <w:color w:val="auto"/>
                <w:w w:val="89"/>
              </w:rPr>
              <w:t>September 26, 2022</w:t>
            </w:r>
          </w:p>
        </w:tc>
        <w:tc>
          <w:tcPr>
            <w:tcW w:w="2640" w:type="dxa"/>
            <w:vAlign w:val="bottom"/>
          </w:tcPr>
          <w:p>
            <w:pPr>
              <w:spacing w:after="0"/>
              <w:rPr>
                <w:sz w:val="24"/>
                <w:szCs w:val="24"/>
                <w:color w:val="auto"/>
              </w:rPr>
            </w:pPr>
          </w:p>
        </w:tc>
      </w:tr>
      <w:tr>
        <w:trPr>
          <w:trHeight w:val="391"/>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600" w:type="dxa"/>
            <w:vAlign w:val="bottom"/>
            <w:gridSpan w:val="4"/>
          </w:tcPr>
          <w:p>
            <w:pPr>
              <w:jc w:val="center"/>
              <w:ind w:right="2360"/>
              <w:spacing w:after="0"/>
              <w:rPr>
                <w:sz w:val="20"/>
                <w:szCs w:val="20"/>
                <w:color w:val="auto"/>
              </w:rPr>
            </w:pPr>
            <w:r>
              <w:rPr>
                <w:rFonts w:ascii="Arial" w:cs="Arial" w:eastAsia="Arial" w:hAnsi="Arial"/>
                <w:sz w:val="18"/>
                <w:szCs w:val="18"/>
                <w:b w:val="1"/>
                <w:bCs w:val="1"/>
                <w:color w:val="auto"/>
                <w:w w:val="99"/>
              </w:rPr>
              <w:t>NOCERA, INC.</w:t>
            </w:r>
          </w:p>
        </w:tc>
        <w:tc>
          <w:tcPr>
            <w:tcW w:w="2640" w:type="dxa"/>
            <w:vAlign w:val="bottom"/>
          </w:tcPr>
          <w:p>
            <w:pPr>
              <w:spacing w:after="0"/>
              <w:rPr>
                <w:sz w:val="24"/>
                <w:szCs w:val="24"/>
                <w:color w:val="auto"/>
              </w:rPr>
            </w:pPr>
          </w:p>
        </w:tc>
      </w:tr>
      <w:tr>
        <w:trPr>
          <w:trHeight w:val="20"/>
        </w:trPr>
        <w:tc>
          <w:tcPr>
            <w:tcW w:w="27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20" w:type="dxa"/>
            <w:vAlign w:val="bottom"/>
            <w:gridSpan w:val="2"/>
          </w:tcPr>
          <w:p>
            <w:pPr>
              <w:spacing w:after="0" w:line="20" w:lineRule="exact"/>
              <w:rPr>
                <w:sz w:val="1"/>
                <w:szCs w:val="1"/>
                <w:color w:val="auto"/>
              </w:rPr>
            </w:pPr>
          </w:p>
        </w:tc>
        <w:tc>
          <w:tcPr>
            <w:tcW w:w="1240" w:type="dxa"/>
            <w:vAlign w:val="bottom"/>
            <w:shd w:val="clear" w:color="auto" w:fill="000000"/>
          </w:tcPr>
          <w:p>
            <w:pPr>
              <w:spacing w:after="0" w:line="20" w:lineRule="exact"/>
              <w:rPr>
                <w:sz w:val="1"/>
                <w:szCs w:val="1"/>
                <w:color w:val="auto"/>
              </w:rPr>
            </w:pPr>
          </w:p>
        </w:tc>
        <w:tc>
          <w:tcPr>
            <w:tcW w:w="2360" w:type="dxa"/>
            <w:vAlign w:val="bottom"/>
            <w:gridSpan w:val="3"/>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r>
      <w:tr>
        <w:trPr>
          <w:trHeight w:val="237"/>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220" w:type="dxa"/>
            <w:vAlign w:val="bottom"/>
            <w:gridSpan w:val="6"/>
          </w:tcPr>
          <w:p>
            <w:pPr>
              <w:jc w:val="center"/>
              <w:ind w:right="720"/>
              <w:spacing w:after="0"/>
              <w:rPr>
                <w:sz w:val="20"/>
                <w:szCs w:val="20"/>
                <w:color w:val="auto"/>
              </w:rPr>
            </w:pPr>
            <w:r>
              <w:rPr>
                <w:rFonts w:ascii="Arial" w:cs="Arial" w:eastAsia="Arial" w:hAnsi="Arial"/>
                <w:sz w:val="18"/>
                <w:szCs w:val="18"/>
                <w:color w:val="auto"/>
                <w:w w:val="90"/>
              </w:rPr>
              <w:t>(Exact name of registrant as specified in charter)</w:t>
            </w:r>
          </w:p>
        </w:tc>
        <w:tc>
          <w:tcPr>
            <w:tcW w:w="2640" w:type="dxa"/>
            <w:vAlign w:val="bottom"/>
          </w:tcPr>
          <w:p>
            <w:pPr>
              <w:spacing w:after="0"/>
              <w:rPr>
                <w:sz w:val="20"/>
                <w:szCs w:val="20"/>
                <w:color w:val="auto"/>
              </w:rPr>
            </w:pPr>
          </w:p>
        </w:tc>
      </w:tr>
      <w:tr>
        <w:trPr>
          <w:trHeight w:val="439"/>
        </w:trPr>
        <w:tc>
          <w:tcPr>
            <w:tcW w:w="2780" w:type="dxa"/>
            <w:vAlign w:val="bottom"/>
          </w:tcPr>
          <w:p>
            <w:pPr>
              <w:jc w:val="center"/>
              <w:ind w:left="510"/>
              <w:spacing w:after="0"/>
              <w:rPr>
                <w:sz w:val="20"/>
                <w:szCs w:val="20"/>
                <w:color w:val="auto"/>
              </w:rPr>
            </w:pPr>
            <w:r>
              <w:rPr>
                <w:rFonts w:ascii="Arial" w:cs="Arial" w:eastAsia="Arial" w:hAnsi="Arial"/>
                <w:sz w:val="18"/>
                <w:szCs w:val="18"/>
                <w:b w:val="1"/>
                <w:bCs w:val="1"/>
                <w:color w:val="auto"/>
                <w:w w:val="90"/>
              </w:rPr>
              <w:t>Nevada</w:t>
            </w:r>
          </w:p>
        </w:tc>
        <w:tc>
          <w:tcPr>
            <w:tcW w:w="3460" w:type="dxa"/>
            <w:vAlign w:val="bottom"/>
            <w:gridSpan w:val="4"/>
          </w:tcPr>
          <w:p>
            <w:pPr>
              <w:jc w:val="center"/>
              <w:ind w:left="2150"/>
              <w:spacing w:after="0"/>
              <w:rPr>
                <w:sz w:val="20"/>
                <w:szCs w:val="20"/>
                <w:color w:val="auto"/>
              </w:rPr>
            </w:pPr>
            <w:r>
              <w:rPr>
                <w:rFonts w:ascii="Arial" w:cs="Arial" w:eastAsia="Arial" w:hAnsi="Arial"/>
                <w:sz w:val="18"/>
                <w:szCs w:val="18"/>
                <w:b w:val="1"/>
                <w:bCs w:val="1"/>
                <w:color w:val="auto"/>
                <w:w w:val="90"/>
              </w:rPr>
              <w:t>000-55993</w:t>
            </w:r>
          </w:p>
        </w:tc>
        <w:tc>
          <w:tcPr>
            <w:tcW w:w="10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640" w:type="dxa"/>
            <w:vAlign w:val="bottom"/>
          </w:tcPr>
          <w:p>
            <w:pPr>
              <w:jc w:val="center"/>
              <w:ind w:right="650"/>
              <w:spacing w:after="0"/>
              <w:rPr>
                <w:sz w:val="20"/>
                <w:szCs w:val="20"/>
                <w:color w:val="auto"/>
              </w:rPr>
            </w:pPr>
            <w:r>
              <w:rPr>
                <w:rFonts w:ascii="Arial" w:cs="Arial" w:eastAsia="Arial" w:hAnsi="Arial"/>
                <w:sz w:val="18"/>
                <w:szCs w:val="18"/>
                <w:b w:val="1"/>
                <w:bCs w:val="1"/>
                <w:color w:val="auto"/>
                <w:w w:val="89"/>
              </w:rPr>
              <w:t>16-1626611</w:t>
            </w:r>
          </w:p>
        </w:tc>
      </w:tr>
      <w:tr>
        <w:trPr>
          <w:trHeight w:val="202"/>
        </w:trPr>
        <w:tc>
          <w:tcPr>
            <w:tcW w:w="2780" w:type="dxa"/>
            <w:vAlign w:val="bottom"/>
            <w:tcBorders>
              <w:top w:val="single" w:sz="8" w:color="auto"/>
            </w:tcBorders>
          </w:tcPr>
          <w:p>
            <w:pPr>
              <w:jc w:val="center"/>
              <w:ind w:left="510"/>
              <w:spacing w:after="0" w:line="201" w:lineRule="exact"/>
              <w:rPr>
                <w:sz w:val="20"/>
                <w:szCs w:val="20"/>
                <w:color w:val="auto"/>
              </w:rPr>
            </w:pPr>
            <w:r>
              <w:rPr>
                <w:rFonts w:ascii="Arial" w:cs="Arial" w:eastAsia="Arial" w:hAnsi="Arial"/>
                <w:sz w:val="18"/>
                <w:szCs w:val="18"/>
                <w:color w:val="auto"/>
                <w:w w:val="92"/>
              </w:rPr>
              <w:t>(State or other jurisdiction</w:t>
            </w:r>
          </w:p>
        </w:tc>
        <w:tc>
          <w:tcPr>
            <w:tcW w:w="600" w:type="dxa"/>
            <w:vAlign w:val="bottom"/>
            <w:tcBorders>
              <w:top w:val="single" w:sz="8" w:color="auto"/>
            </w:tcBorders>
          </w:tcPr>
          <w:p>
            <w:pPr>
              <w:spacing w:after="0"/>
              <w:rPr>
                <w:sz w:val="17"/>
                <w:szCs w:val="17"/>
                <w:color w:val="auto"/>
              </w:rPr>
            </w:pPr>
          </w:p>
        </w:tc>
        <w:tc>
          <w:tcPr>
            <w:tcW w:w="560" w:type="dxa"/>
            <w:vAlign w:val="bottom"/>
          </w:tcPr>
          <w:p>
            <w:pPr>
              <w:spacing w:after="0"/>
              <w:rPr>
                <w:sz w:val="17"/>
                <w:szCs w:val="17"/>
                <w:color w:val="auto"/>
              </w:rPr>
            </w:pPr>
          </w:p>
        </w:tc>
        <w:tc>
          <w:tcPr>
            <w:tcW w:w="1060" w:type="dxa"/>
            <w:vAlign w:val="bottom"/>
            <w:tcBorders>
              <w:top w:val="single" w:sz="8" w:color="auto"/>
            </w:tcBorders>
          </w:tcPr>
          <w:p>
            <w:pPr>
              <w:spacing w:after="0"/>
              <w:rPr>
                <w:sz w:val="17"/>
                <w:szCs w:val="17"/>
                <w:color w:val="auto"/>
              </w:rPr>
            </w:pPr>
          </w:p>
        </w:tc>
        <w:tc>
          <w:tcPr>
            <w:tcW w:w="2320" w:type="dxa"/>
            <w:vAlign w:val="bottom"/>
            <w:tcBorders>
              <w:top w:val="single" w:sz="8" w:color="auto"/>
            </w:tcBorders>
            <w:gridSpan w:val="2"/>
          </w:tcPr>
          <w:p>
            <w:pPr>
              <w:jc w:val="center"/>
              <w:ind w:right="1040"/>
              <w:spacing w:after="0" w:line="201" w:lineRule="exact"/>
              <w:rPr>
                <w:sz w:val="20"/>
                <w:szCs w:val="20"/>
                <w:color w:val="auto"/>
              </w:rPr>
            </w:pPr>
            <w:r>
              <w:rPr>
                <w:rFonts w:ascii="Arial" w:cs="Arial" w:eastAsia="Arial" w:hAnsi="Arial"/>
                <w:sz w:val="18"/>
                <w:szCs w:val="18"/>
                <w:color w:val="auto"/>
                <w:w w:val="91"/>
              </w:rPr>
              <w:t>(Commission</w:t>
            </w:r>
          </w:p>
        </w:tc>
        <w:tc>
          <w:tcPr>
            <w:tcW w:w="560" w:type="dxa"/>
            <w:vAlign w:val="bottom"/>
          </w:tcPr>
          <w:p>
            <w:pPr>
              <w:spacing w:after="0"/>
              <w:rPr>
                <w:sz w:val="17"/>
                <w:szCs w:val="17"/>
                <w:color w:val="auto"/>
              </w:rPr>
            </w:pPr>
          </w:p>
        </w:tc>
        <w:tc>
          <w:tcPr>
            <w:tcW w:w="720" w:type="dxa"/>
            <w:vAlign w:val="bottom"/>
            <w:tcBorders>
              <w:top w:val="single" w:sz="8" w:color="auto"/>
            </w:tcBorders>
          </w:tcPr>
          <w:p>
            <w:pPr>
              <w:spacing w:after="0"/>
              <w:rPr>
                <w:sz w:val="17"/>
                <w:szCs w:val="17"/>
                <w:color w:val="auto"/>
              </w:rPr>
            </w:pPr>
          </w:p>
        </w:tc>
        <w:tc>
          <w:tcPr>
            <w:tcW w:w="2640" w:type="dxa"/>
            <w:vAlign w:val="bottom"/>
            <w:tcBorders>
              <w:top w:val="single" w:sz="8" w:color="auto"/>
            </w:tcBorders>
          </w:tcPr>
          <w:p>
            <w:pPr>
              <w:jc w:val="center"/>
              <w:ind w:right="630"/>
              <w:spacing w:after="0" w:line="201" w:lineRule="exact"/>
              <w:rPr>
                <w:sz w:val="20"/>
                <w:szCs w:val="20"/>
                <w:color w:val="auto"/>
              </w:rPr>
            </w:pPr>
            <w:r>
              <w:rPr>
                <w:rFonts w:ascii="Arial" w:cs="Arial" w:eastAsia="Arial" w:hAnsi="Arial"/>
                <w:sz w:val="18"/>
                <w:szCs w:val="18"/>
                <w:color w:val="auto"/>
                <w:w w:val="92"/>
              </w:rPr>
              <w:t>(IRS Employer</w:t>
            </w:r>
          </w:p>
        </w:tc>
      </w:tr>
      <w:tr>
        <w:trPr>
          <w:trHeight w:val="230"/>
        </w:trPr>
        <w:tc>
          <w:tcPr>
            <w:tcW w:w="2780" w:type="dxa"/>
            <w:vAlign w:val="bottom"/>
          </w:tcPr>
          <w:p>
            <w:pPr>
              <w:jc w:val="center"/>
              <w:ind w:left="510"/>
              <w:spacing w:after="0"/>
              <w:rPr>
                <w:sz w:val="20"/>
                <w:szCs w:val="20"/>
                <w:color w:val="auto"/>
              </w:rPr>
            </w:pPr>
            <w:r>
              <w:rPr>
                <w:rFonts w:ascii="Arial" w:cs="Arial" w:eastAsia="Arial" w:hAnsi="Arial"/>
                <w:sz w:val="18"/>
                <w:szCs w:val="18"/>
                <w:color w:val="auto"/>
                <w:w w:val="93"/>
              </w:rPr>
              <w:t>of incorporation)</w:t>
            </w: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20"/>
              <w:spacing w:after="0"/>
              <w:rPr>
                <w:sz w:val="20"/>
                <w:szCs w:val="20"/>
                <w:color w:val="auto"/>
              </w:rPr>
            </w:pPr>
            <w:r>
              <w:rPr>
                <w:rFonts w:ascii="Arial" w:cs="Arial" w:eastAsia="Arial" w:hAnsi="Arial"/>
                <w:sz w:val="18"/>
                <w:szCs w:val="18"/>
                <w:color w:val="auto"/>
                <w:w w:val="92"/>
              </w:rPr>
              <w:t>File Number)</w:t>
            </w:r>
          </w:p>
        </w:tc>
        <w:tc>
          <w:tcPr>
            <w:tcW w:w="2640" w:type="dxa"/>
            <w:vAlign w:val="bottom"/>
          </w:tcPr>
          <w:p>
            <w:pPr>
              <w:jc w:val="center"/>
              <w:ind w:right="650"/>
              <w:spacing w:after="0"/>
              <w:rPr>
                <w:sz w:val="20"/>
                <w:szCs w:val="20"/>
                <w:color w:val="auto"/>
              </w:rPr>
            </w:pPr>
            <w:r>
              <w:rPr>
                <w:rFonts w:ascii="Arial" w:cs="Arial" w:eastAsia="Arial" w:hAnsi="Arial"/>
                <w:sz w:val="18"/>
                <w:szCs w:val="18"/>
                <w:color w:val="auto"/>
                <w:w w:val="95"/>
              </w:rPr>
              <w:t>Identification No.)</w:t>
            </w:r>
          </w:p>
        </w:tc>
      </w:tr>
    </w:tbl>
    <w:p>
      <w:pPr>
        <w:spacing w:after="0" w:line="198"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3F (Building B), No. 185, Sec. 1, Datong Rd., Xizhi Dist., New Taipei City Taiwan 221, ROC</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(Address of principal executive offices and zip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(886) 910-163-358</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(Registrant’s telephone number, including area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N/A</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(Former name or former address, if changed since last report)</w:t>
      </w:r>
    </w:p>
    <w:p>
      <w:pPr>
        <w:spacing w:after="0" w:line="211" w:lineRule="exact"/>
        <w:rPr>
          <w:sz w:val="24"/>
          <w:szCs w:val="24"/>
          <w:color w:val="auto"/>
        </w:rPr>
      </w:pPr>
    </w:p>
    <w:p>
      <w:pPr>
        <w:jc w:val="both"/>
        <w:spacing w:after="0" w:line="277" w:lineRule="auto"/>
        <w:rPr>
          <w:sz w:val="20"/>
          <w:szCs w:val="20"/>
          <w:color w:val="auto"/>
        </w:rPr>
      </w:pPr>
      <w:r>
        <w:rPr>
          <w:rFonts w:ascii="Arial" w:cs="Arial" w:eastAsia="Arial" w:hAnsi="Arial"/>
          <w:sz w:val="18"/>
          <w:szCs w:val="18"/>
          <w:color w:val="auto"/>
        </w:rPr>
        <w:t>Check the appropriate box below if the Form 8-K filing is intended to simultaneously satisfy the filing obligation of registrant under any of the following provisions:</w:t>
      </w:r>
    </w:p>
    <w:p>
      <w:pPr>
        <w:spacing w:after="0" w:line="170"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378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87"/>
              </w:rPr>
              <w:t>Title of each class</w:t>
            </w:r>
          </w:p>
        </w:tc>
        <w:tc>
          <w:tcPr>
            <w:tcW w:w="3180" w:type="dxa"/>
            <w:vAlign w:val="bottom"/>
            <w:tcBorders>
              <w:bottom w:val="single" w:sz="8" w:color="auto"/>
            </w:tcBorders>
          </w:tcPr>
          <w:p>
            <w:pPr>
              <w:jc w:val="center"/>
              <w:ind w:left="410"/>
              <w:spacing w:after="0"/>
              <w:rPr>
                <w:sz w:val="20"/>
                <w:szCs w:val="20"/>
                <w:color w:val="auto"/>
              </w:rPr>
            </w:pPr>
            <w:r>
              <w:rPr>
                <w:rFonts w:ascii="Arial" w:cs="Arial" w:eastAsia="Arial" w:hAnsi="Arial"/>
                <w:sz w:val="18"/>
                <w:szCs w:val="18"/>
                <w:b w:val="1"/>
                <w:bCs w:val="1"/>
                <w:color w:val="auto"/>
                <w:w w:val="91"/>
              </w:rPr>
              <w:t>Trading Symbol</w:t>
            </w:r>
          </w:p>
        </w:tc>
        <w:tc>
          <w:tcPr>
            <w:tcW w:w="4280" w:type="dxa"/>
            <w:vAlign w:val="bottom"/>
            <w:tcBorders>
              <w:bottom w:val="single" w:sz="8" w:color="auto"/>
            </w:tcBorders>
          </w:tcPr>
          <w:p>
            <w:pPr>
              <w:jc w:val="center"/>
              <w:ind w:left="450"/>
              <w:spacing w:after="0"/>
              <w:rPr>
                <w:sz w:val="20"/>
                <w:szCs w:val="20"/>
                <w:color w:val="auto"/>
              </w:rPr>
            </w:pPr>
            <w:r>
              <w:rPr>
                <w:rFonts w:ascii="Arial" w:cs="Arial" w:eastAsia="Arial" w:hAnsi="Arial"/>
                <w:sz w:val="18"/>
                <w:szCs w:val="18"/>
                <w:b w:val="1"/>
                <w:bCs w:val="1"/>
                <w:color w:val="auto"/>
                <w:w w:val="87"/>
              </w:rPr>
              <w:t>Name of each exchange on which registered</w:t>
            </w:r>
          </w:p>
        </w:tc>
      </w:tr>
      <w:tr>
        <w:trPr>
          <w:trHeight w:val="224"/>
        </w:trPr>
        <w:tc>
          <w:tcPr>
            <w:tcW w:w="3780" w:type="dxa"/>
            <w:vAlign w:val="bottom"/>
          </w:tcPr>
          <w:p>
            <w:pPr>
              <w:jc w:val="center"/>
              <w:spacing w:after="0"/>
              <w:rPr>
                <w:sz w:val="20"/>
                <w:szCs w:val="20"/>
                <w:color w:val="auto"/>
              </w:rPr>
            </w:pPr>
            <w:r>
              <w:rPr>
                <w:rFonts w:ascii="Arial" w:cs="Arial" w:eastAsia="Arial" w:hAnsi="Arial"/>
                <w:sz w:val="18"/>
                <w:szCs w:val="18"/>
                <w:color w:val="auto"/>
                <w:w w:val="90"/>
              </w:rPr>
              <w:t>Common Stock</w:t>
            </w:r>
          </w:p>
        </w:tc>
        <w:tc>
          <w:tcPr>
            <w:tcW w:w="3180" w:type="dxa"/>
            <w:vAlign w:val="bottom"/>
          </w:tcPr>
          <w:p>
            <w:pPr>
              <w:jc w:val="center"/>
              <w:ind w:left="390"/>
              <w:spacing w:after="0"/>
              <w:rPr>
                <w:sz w:val="20"/>
                <w:szCs w:val="20"/>
                <w:color w:val="auto"/>
              </w:rPr>
            </w:pPr>
            <w:r>
              <w:rPr>
                <w:rFonts w:ascii="Arial" w:cs="Arial" w:eastAsia="Arial" w:hAnsi="Arial"/>
                <w:sz w:val="18"/>
                <w:szCs w:val="18"/>
                <w:color w:val="auto"/>
                <w:w w:val="97"/>
              </w:rPr>
              <w:t>NCRA</w:t>
            </w:r>
          </w:p>
        </w:tc>
        <w:tc>
          <w:tcPr>
            <w:tcW w:w="4280" w:type="dxa"/>
            <w:vAlign w:val="bottom"/>
          </w:tcPr>
          <w:p>
            <w:pPr>
              <w:jc w:val="center"/>
              <w:ind w:left="450"/>
              <w:spacing w:after="0"/>
              <w:rPr>
                <w:sz w:val="20"/>
                <w:szCs w:val="20"/>
                <w:color w:val="auto"/>
              </w:rPr>
            </w:pPr>
            <w:r>
              <w:rPr>
                <w:rFonts w:ascii="Arial" w:cs="Arial" w:eastAsia="Arial" w:hAnsi="Arial"/>
                <w:sz w:val="18"/>
                <w:szCs w:val="18"/>
                <w:color w:val="auto"/>
                <w:w w:val="92"/>
              </w:rPr>
              <w:t>The Nasdaq Capital Market, LLC</w:t>
            </w:r>
          </w:p>
        </w:tc>
      </w:tr>
    </w:tbl>
    <w:p>
      <w:pPr>
        <w:spacing w:after="0" w:line="187" w:lineRule="exact"/>
        <w:rPr>
          <w:sz w:val="24"/>
          <w:szCs w:val="24"/>
          <w:color w:val="auto"/>
        </w:rPr>
      </w:pPr>
    </w:p>
    <w:p>
      <w:pPr>
        <w:jc w:val="both"/>
        <w:ind w:right="20"/>
        <w:spacing w:after="0" w:line="277" w:lineRule="auto"/>
        <w:rPr>
          <w:sz w:val="20"/>
          <w:szCs w:val="20"/>
          <w:color w:val="auto"/>
        </w:rPr>
      </w:pPr>
      <w:r>
        <w:rPr>
          <w:rFonts w:ascii="Arial" w:cs="Arial" w:eastAsia="Arial" w:hAnsi="Arial"/>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38" w:lineRule="exact"/>
        <w:rPr>
          <w:sz w:val="24"/>
          <w:szCs w:val="24"/>
          <w:color w:val="auto"/>
        </w:rPr>
      </w:pPr>
    </w:p>
    <w:p>
      <w:pPr>
        <w:ind w:left="9060"/>
        <w:spacing w:after="0" w:line="184" w:lineRule="exact"/>
        <w:rPr>
          <w:sz w:val="20"/>
          <w:szCs w:val="20"/>
          <w:color w:val="auto"/>
        </w:rPr>
      </w:pPr>
      <w:r>
        <w:rPr>
          <w:rFonts w:ascii="Arial" w:cs="Arial" w:eastAsia="Arial" w:hAnsi="Arial"/>
          <w:sz w:val="16"/>
          <w:szCs w:val="16"/>
          <w:color w:val="auto"/>
        </w:rPr>
        <w:t xml:space="preserve">Emerging growth company </w:t>
      </w:r>
      <w:r>
        <w:rPr>
          <w:rFonts w:ascii="MS PGothic" w:cs="MS PGothic" w:eastAsia="MS PGothic" w:hAnsi="MS PGothic"/>
          <w:sz w:val="16"/>
          <w:szCs w:val="16"/>
          <w:color w:val="auto"/>
        </w:rPr>
        <w:t>☒</w:t>
      </w:r>
    </w:p>
    <w:p>
      <w:pPr>
        <w:spacing w:after="0" w:line="281" w:lineRule="exact"/>
        <w:rPr>
          <w:sz w:val="24"/>
          <w:szCs w:val="24"/>
          <w:color w:val="auto"/>
        </w:rPr>
      </w:pPr>
    </w:p>
    <w:p>
      <w:pPr>
        <w:jc w:val="both"/>
        <w:spacing w:after="0" w:line="233" w:lineRule="exact"/>
        <w:rPr>
          <w:sz w:val="20"/>
          <w:szCs w:val="20"/>
          <w:color w:val="auto"/>
        </w:rPr>
      </w:pPr>
      <w:r>
        <w:rPr>
          <w:rFonts w:ascii="Arial" w:cs="Arial" w:eastAsia="Arial" w:hAnsi="Arial"/>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279400</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 w:name="page2"/>
    <w:bookmarkEnd w:id="1"/>
    <w:p>
      <w:pPr>
        <w:spacing w:after="0"/>
        <w:rPr>
          <w:sz w:val="20"/>
          <w:szCs w:val="20"/>
          <w:color w:val="auto"/>
        </w:rPr>
      </w:pPr>
      <w:r>
        <w:rPr>
          <w:rFonts w:ascii="Arial" w:cs="Arial" w:eastAsia="Arial" w:hAnsi="Arial"/>
          <w:sz w:val="18"/>
          <w:szCs w:val="18"/>
          <w:b w:val="1"/>
          <w:bCs w:val="1"/>
          <w:color w:val="auto"/>
        </w:rPr>
        <w:t>Item 1.01 Entry into a Material Definitive Agreement.</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iTake Purchase Agreement</w:t>
      </w:r>
    </w:p>
    <w:p>
      <w:pPr>
        <w:spacing w:after="0" w:line="225" w:lineRule="exact"/>
        <w:rPr>
          <w:sz w:val="20"/>
          <w:szCs w:val="20"/>
          <w:color w:val="auto"/>
        </w:rPr>
      </w:pPr>
    </w:p>
    <w:p>
      <w:pPr>
        <w:jc w:val="both"/>
        <w:spacing w:after="0" w:line="286" w:lineRule="auto"/>
        <w:rPr>
          <w:sz w:val="20"/>
          <w:szCs w:val="20"/>
          <w:color w:val="auto"/>
        </w:rPr>
      </w:pPr>
      <w:r>
        <w:rPr>
          <w:rFonts w:ascii="Arial" w:cs="Arial" w:eastAsia="Arial" w:hAnsi="Arial"/>
          <w:sz w:val="17"/>
          <w:szCs w:val="17"/>
          <w:color w:val="auto"/>
        </w:rPr>
        <w:t>On September 26, 2022, Nocera, Inc., a Nevada corporation (the “Company”), entered into a Variable Interest Entity Purchase Agreement (the “iTake Purchase Agreement”) with iTake Inc., a Taiwan corporation (“iTake”). The iTake Purchase Agreement provides that, subject to the terms and conditions set forth in the iTake Purchase Agreement, the Company will purchase a 51% controlling interest in iTake (the “iTake Acquisition”).</w:t>
      </w:r>
    </w:p>
    <w:p>
      <w:pPr>
        <w:spacing w:after="0" w:line="165"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Under the iTake Purchase Agreement, the Company will (i) make a payment of $200,000 to iTake (the “Cash Payment”) and (ii) issue 100,000 Class A warrants (together with the Cash Payment, the “Payment”), within 60 days of September 26, 2022 (November 25, 2022) in exchange for a 51% controlling interest in iTake. On the date that is 15 days after the date the Payment is completed, iTake will sign and deliver all necessary variable interest agreements to the Company to effectuate the iTake Acquisition, including, without limitation, a customary voting rights proxy agreement and power of attorney, exclusive call option agreement, and a legal opinion from iTake’s counsel.</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color w:val="auto"/>
        </w:rPr>
        <w:t>The iTake Acquisition is expected to close on or around November 15, 2022.</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color w:val="auto"/>
        </w:rPr>
        <w:t>A copy of the iTake Purchase Agreement is filed as Exhibit 10.1 to this Form 8-K and is incorporated by reference herein.</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Farmers Vending Purchase Agreement</w:t>
      </w:r>
    </w:p>
    <w:p>
      <w:pPr>
        <w:spacing w:after="0" w:line="225" w:lineRule="exact"/>
        <w:rPr>
          <w:sz w:val="20"/>
          <w:szCs w:val="20"/>
          <w:color w:val="auto"/>
        </w:rPr>
      </w:pPr>
    </w:p>
    <w:p>
      <w:pPr>
        <w:jc w:val="both"/>
        <w:spacing w:after="0" w:line="279" w:lineRule="auto"/>
        <w:rPr>
          <w:sz w:val="20"/>
          <w:szCs w:val="20"/>
          <w:color w:val="auto"/>
        </w:rPr>
      </w:pPr>
      <w:r>
        <w:rPr>
          <w:rFonts w:ascii="Arial" w:cs="Arial" w:eastAsia="Arial" w:hAnsi="Arial"/>
          <w:sz w:val="17"/>
          <w:szCs w:val="17"/>
          <w:color w:val="auto"/>
        </w:rPr>
        <w:t>On September 26, 2022, Farmers Vending Machine Co. Ltd., a Taiwan corporation (“Farmers Vending”), entered into a Purchase Agreement (the “Farmers Vending Purchase Agreement”) with the Company. The Farmers Vending Purchase Agreement provides that, subject to the terms and conditions set forth in the Farmers Vending Purchase Agreement, Farmers Vending will purchase from the Company $1,000,000 worth of seafood, fruits and vegetables (the “Products”) every month to sell through Farmers Vending’s vending machine locations and fruit outlets.</w:t>
      </w:r>
    </w:p>
    <w:p>
      <w:pPr>
        <w:spacing w:after="0" w:line="171"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The effective date of the Farmers Vending Purchase Agreement is October 1, 2022 and will have a term of one year. Each of the Products will be sold at the prevailing market price at a discounted rate of 30%. The Company will be responsible for the delivery of the Products to the designated locations and will bear all costs associated with delivery.</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color w:val="auto"/>
        </w:rPr>
        <w:t>A copy of the Farmers Vending Purchase Agreement is filed as Exhibit 10.2 to this Form 8-K and is incorporated by reference herein.</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7.01 Regulation FD Disclosure.</w:t>
      </w:r>
    </w:p>
    <w:p>
      <w:pPr>
        <w:spacing w:after="0" w:line="229"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On September 29, 2022, Nocera issued a press release announcing the iTake Purchase Agreement described under Item 1.01 of this Form 8-K. A copy of the press release is furnished as Exhibit 99.1 to this Current Report on Form 8-K.</w:t>
      </w:r>
    </w:p>
    <w:p>
      <w:pPr>
        <w:spacing w:after="0" w:line="170"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The disclosure under Item 7.01, including Exhibit 99.1 hereto, is being furnished and shall not be deemed “filed” for purposes of Section 18 of the Securities Exchange Act of 1934, as amended, or otherwise subject to the liabilities of that section. The information provided herein shall not be deemed incorporated by reference into any filing made under the Securities Act of 1933, as amended, except as expressly set forth by specific reference in such filing.</w:t>
      </w:r>
    </w:p>
    <w:p>
      <w:pPr>
        <w:spacing w:after="0" w:line="18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9.01 Financial Statements and Exhibits.</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(d) Exhibits</w:t>
      </w:r>
    </w:p>
    <w:p>
      <w:pPr>
        <w:spacing w:after="0" w:line="248" w:lineRule="exact"/>
        <w:rPr>
          <w:sz w:val="20"/>
          <w:szCs w:val="20"/>
          <w:color w:val="auto"/>
        </w:rPr>
      </w:pPr>
    </w:p>
    <w:tbl>
      <w:tblPr>
        <w:tblLayout w:type="fixed"/>
        <w:tblInd w:w="40" w:type="dxa"/>
        <w:tblCellMar>
          <w:top w:w="0" w:type="dxa"/>
          <w:left w:w="0" w:type="dxa"/>
          <w:bottom w:w="0" w:type="dxa"/>
          <w:right w:w="0" w:type="dxa"/>
        </w:tblCellMar>
      </w:tblPr>
      <w:tr>
        <w:trPr>
          <w:trHeight w:val="216"/>
        </w:trPr>
        <w:tc>
          <w:tcPr>
            <w:tcW w:w="840" w:type="dxa"/>
            <w:vAlign w:val="bottom"/>
          </w:tcPr>
          <w:p>
            <w:pPr>
              <w:spacing w:after="0"/>
              <w:rPr>
                <w:sz w:val="20"/>
                <w:szCs w:val="20"/>
                <w:color w:val="auto"/>
              </w:rPr>
            </w:pPr>
            <w:r>
              <w:rPr>
                <w:rFonts w:ascii="Arial" w:cs="Arial" w:eastAsia="Arial" w:hAnsi="Arial"/>
                <w:sz w:val="18"/>
                <w:szCs w:val="18"/>
                <w:b w:val="1"/>
                <w:bCs w:val="1"/>
                <w:color w:val="auto"/>
              </w:rPr>
              <w:t>Exhibit</w:t>
            </w:r>
          </w:p>
        </w:tc>
        <w:tc>
          <w:tcPr>
            <w:tcW w:w="40" w:type="dxa"/>
            <w:vAlign w:val="bottom"/>
          </w:tcPr>
          <w:p>
            <w:pPr>
              <w:spacing w:after="0"/>
              <w:rPr>
                <w:sz w:val="18"/>
                <w:szCs w:val="18"/>
                <w:color w:val="auto"/>
              </w:rPr>
            </w:pPr>
          </w:p>
        </w:tc>
        <w:tc>
          <w:tcPr>
            <w:tcW w:w="10300" w:type="dxa"/>
            <w:vAlign w:val="bottom"/>
            <w:gridSpan w:val="5"/>
            <w:vMerge w:val="restart"/>
          </w:tcPr>
          <w:p>
            <w:pPr>
              <w:spacing w:after="0"/>
              <w:rPr>
                <w:sz w:val="20"/>
                <w:szCs w:val="20"/>
                <w:color w:val="auto"/>
              </w:rPr>
            </w:pPr>
            <w:r>
              <w:rPr>
                <w:rFonts w:ascii="Arial" w:cs="Arial" w:eastAsia="Arial" w:hAnsi="Arial"/>
                <w:sz w:val="18"/>
                <w:szCs w:val="18"/>
                <w:b w:val="1"/>
                <w:bCs w:val="1"/>
                <w:color w:val="auto"/>
              </w:rPr>
              <w:t>Description</w:t>
            </w:r>
          </w:p>
        </w:tc>
        <w:tc>
          <w:tcPr>
            <w:tcW w:w="0" w:type="dxa"/>
            <w:vAlign w:val="bottom"/>
          </w:tcPr>
          <w:p>
            <w:pPr>
              <w:spacing w:after="0"/>
              <w:rPr>
                <w:sz w:val="1"/>
                <w:szCs w:val="1"/>
                <w:color w:val="auto"/>
              </w:rPr>
            </w:pPr>
          </w:p>
        </w:tc>
      </w:tr>
      <w:tr>
        <w:trPr>
          <w:trHeight w:val="126"/>
        </w:trPr>
        <w:tc>
          <w:tcPr>
            <w:tcW w:w="840" w:type="dxa"/>
            <w:vAlign w:val="bottom"/>
            <w:vMerge w:val="restart"/>
          </w:tcPr>
          <w:p>
            <w:pPr>
              <w:spacing w:after="0"/>
              <w:rPr>
                <w:sz w:val="20"/>
                <w:szCs w:val="20"/>
                <w:color w:val="auto"/>
              </w:rPr>
            </w:pPr>
            <w:r>
              <w:rPr>
                <w:rFonts w:ascii="Arial" w:cs="Arial" w:eastAsia="Arial" w:hAnsi="Arial"/>
                <w:sz w:val="18"/>
                <w:szCs w:val="18"/>
                <w:b w:val="1"/>
                <w:bCs w:val="1"/>
                <w:color w:val="auto"/>
              </w:rPr>
              <w:t>No.</w:t>
            </w:r>
          </w:p>
        </w:tc>
        <w:tc>
          <w:tcPr>
            <w:tcW w:w="40" w:type="dxa"/>
            <w:vAlign w:val="bottom"/>
          </w:tcPr>
          <w:p>
            <w:pPr>
              <w:spacing w:after="0"/>
              <w:rPr>
                <w:sz w:val="10"/>
                <w:szCs w:val="10"/>
                <w:color w:val="auto"/>
              </w:rPr>
            </w:pPr>
          </w:p>
        </w:tc>
        <w:tc>
          <w:tcPr>
            <w:tcW w:w="10300" w:type="dxa"/>
            <w:vAlign w:val="bottom"/>
            <w:gridSpan w:val="5"/>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08"/>
        </w:trPr>
        <w:tc>
          <w:tcPr>
            <w:tcW w:w="840" w:type="dxa"/>
            <w:vAlign w:val="bottom"/>
            <w:tcBorders>
              <w:bottom w:val="single" w:sz="8" w:color="auto"/>
            </w:tcBorders>
            <w:vMerge w:val="continue"/>
          </w:tcPr>
          <w:p>
            <w:pPr>
              <w:spacing w:after="0"/>
              <w:rPr>
                <w:sz w:val="9"/>
                <w:szCs w:val="9"/>
                <w:color w:val="auto"/>
              </w:rPr>
            </w:pPr>
          </w:p>
        </w:tc>
        <w:tc>
          <w:tcPr>
            <w:tcW w:w="40" w:type="dxa"/>
            <w:vAlign w:val="bottom"/>
          </w:tcPr>
          <w:p>
            <w:pPr>
              <w:spacing w:after="0"/>
              <w:rPr>
                <w:sz w:val="9"/>
                <w:szCs w:val="9"/>
                <w:color w:val="auto"/>
              </w:rPr>
            </w:pPr>
          </w:p>
        </w:tc>
        <w:tc>
          <w:tcPr>
            <w:tcW w:w="880" w:type="dxa"/>
            <w:vAlign w:val="bottom"/>
            <w:tcBorders>
              <w:bottom w:val="single" w:sz="8" w:color="auto"/>
            </w:tcBorders>
          </w:tcPr>
          <w:p>
            <w:pPr>
              <w:spacing w:after="0"/>
              <w:rPr>
                <w:sz w:val="9"/>
                <w:szCs w:val="9"/>
                <w:color w:val="auto"/>
              </w:rPr>
            </w:pPr>
          </w:p>
        </w:tc>
        <w:tc>
          <w:tcPr>
            <w:tcW w:w="3120" w:type="dxa"/>
            <w:vAlign w:val="bottom"/>
            <w:tcBorders>
              <w:bottom w:val="single" w:sz="8" w:color="auto"/>
            </w:tcBorders>
          </w:tcPr>
          <w:p>
            <w:pPr>
              <w:spacing w:after="0"/>
              <w:rPr>
                <w:sz w:val="9"/>
                <w:szCs w:val="9"/>
                <w:color w:val="auto"/>
              </w:rPr>
            </w:pPr>
          </w:p>
        </w:tc>
        <w:tc>
          <w:tcPr>
            <w:tcW w:w="4720" w:type="dxa"/>
            <w:vAlign w:val="bottom"/>
            <w:tcBorders>
              <w:bottom w:val="single" w:sz="8" w:color="auto"/>
            </w:tcBorders>
          </w:tcPr>
          <w:p>
            <w:pPr>
              <w:spacing w:after="0"/>
              <w:rPr>
                <w:sz w:val="9"/>
                <w:szCs w:val="9"/>
                <w:color w:val="auto"/>
              </w:rPr>
            </w:pPr>
          </w:p>
        </w:tc>
        <w:tc>
          <w:tcPr>
            <w:tcW w:w="1560" w:type="dxa"/>
            <w:vAlign w:val="bottom"/>
            <w:tcBorders>
              <w:bottom w:val="single" w:sz="8" w:color="auto"/>
            </w:tcBorders>
          </w:tcPr>
          <w:p>
            <w:pPr>
              <w:spacing w:after="0"/>
              <w:rPr>
                <w:sz w:val="9"/>
                <w:szCs w:val="9"/>
                <w:color w:val="auto"/>
              </w:rPr>
            </w:pPr>
          </w:p>
        </w:tc>
        <w:tc>
          <w:tcPr>
            <w:tcW w:w="20" w:type="dxa"/>
            <w:vAlign w:val="bottom"/>
            <w:tcBorders>
              <w:bottom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96"/>
        </w:trPr>
        <w:tc>
          <w:tcPr>
            <w:tcW w:w="840" w:type="dxa"/>
            <w:vAlign w:val="bottom"/>
          </w:tcPr>
          <w:p>
            <w:pPr>
              <w:spacing w:after="0" w:line="196" w:lineRule="exact"/>
              <w:rPr>
                <w:sz w:val="20"/>
                <w:szCs w:val="20"/>
                <w:color w:val="auto"/>
              </w:rPr>
            </w:pPr>
            <w:r>
              <w:rPr>
                <w:rFonts w:ascii="Arial" w:cs="Arial" w:eastAsia="Arial" w:hAnsi="Arial"/>
                <w:sz w:val="18"/>
                <w:szCs w:val="18"/>
                <w:color w:val="auto"/>
              </w:rPr>
              <w:t>10.1</w:t>
            </w:r>
          </w:p>
        </w:tc>
        <w:tc>
          <w:tcPr>
            <w:tcW w:w="40" w:type="dxa"/>
            <w:vAlign w:val="bottom"/>
          </w:tcPr>
          <w:p>
            <w:pPr>
              <w:spacing w:after="0"/>
              <w:rPr>
                <w:sz w:val="17"/>
                <w:szCs w:val="17"/>
                <w:color w:val="auto"/>
              </w:rPr>
            </w:pPr>
          </w:p>
        </w:tc>
        <w:tc>
          <w:tcPr>
            <w:tcW w:w="10300" w:type="dxa"/>
            <w:vAlign w:val="bottom"/>
            <w:gridSpan w:val="5"/>
          </w:tcPr>
          <w:p>
            <w:pPr>
              <w:spacing w:after="0" w:line="196" w:lineRule="exact"/>
              <w:rPr>
                <w:sz w:val="20"/>
                <w:szCs w:val="20"/>
                <w:color w:val="auto"/>
              </w:rPr>
            </w:pPr>
            <w:r>
              <w:rPr>
                <w:rFonts w:ascii="Arial" w:cs="Arial" w:eastAsia="Arial" w:hAnsi="Arial"/>
                <w:sz w:val="18"/>
                <w:szCs w:val="18"/>
                <w:color w:val="0000EE"/>
              </w:rPr>
              <w:t>Variable Interest Entity Purchase Agreement dated as of September 26, 2022, by and between Nocera, Inc. and iTake Inc.</w:t>
            </w:r>
          </w:p>
        </w:tc>
        <w:tc>
          <w:tcPr>
            <w:tcW w:w="0" w:type="dxa"/>
            <w:vAlign w:val="bottom"/>
          </w:tcPr>
          <w:p>
            <w:pPr>
              <w:spacing w:after="0"/>
              <w:rPr>
                <w:sz w:val="1"/>
                <w:szCs w:val="1"/>
                <w:color w:val="auto"/>
              </w:rPr>
            </w:pPr>
          </w:p>
        </w:tc>
      </w:tr>
      <w:tr>
        <w:trPr>
          <w:trHeight w:val="20"/>
        </w:trPr>
        <w:tc>
          <w:tcPr>
            <w:tcW w:w="8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80" w:type="dxa"/>
            <w:vAlign w:val="bottom"/>
            <w:shd w:val="clear" w:color="auto" w:fill="0000EE"/>
          </w:tcPr>
          <w:p>
            <w:pPr>
              <w:spacing w:after="0" w:line="20" w:lineRule="exact"/>
              <w:rPr>
                <w:sz w:val="1"/>
                <w:szCs w:val="1"/>
                <w:color w:val="auto"/>
              </w:rPr>
            </w:pPr>
          </w:p>
        </w:tc>
        <w:tc>
          <w:tcPr>
            <w:tcW w:w="3120" w:type="dxa"/>
            <w:vAlign w:val="bottom"/>
            <w:shd w:val="clear" w:color="auto" w:fill="0000EE"/>
          </w:tcPr>
          <w:p>
            <w:pPr>
              <w:spacing w:after="0" w:line="20" w:lineRule="exact"/>
              <w:rPr>
                <w:sz w:val="1"/>
                <w:szCs w:val="1"/>
                <w:color w:val="auto"/>
              </w:rPr>
            </w:pPr>
          </w:p>
        </w:tc>
        <w:tc>
          <w:tcPr>
            <w:tcW w:w="4720" w:type="dxa"/>
            <w:vAlign w:val="bottom"/>
            <w:shd w:val="clear" w:color="auto" w:fill="0000EE"/>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23"/>
        </w:trPr>
        <w:tc>
          <w:tcPr>
            <w:tcW w:w="840" w:type="dxa"/>
            <w:vAlign w:val="bottom"/>
            <w:vMerge w:val="restart"/>
          </w:tcPr>
          <w:p>
            <w:pPr>
              <w:spacing w:after="0"/>
              <w:rPr>
                <w:sz w:val="20"/>
                <w:szCs w:val="20"/>
                <w:color w:val="auto"/>
              </w:rPr>
            </w:pPr>
            <w:r>
              <w:rPr>
                <w:rFonts w:ascii="Arial" w:cs="Arial" w:eastAsia="Arial" w:hAnsi="Arial"/>
                <w:sz w:val="18"/>
                <w:szCs w:val="18"/>
                <w:color w:val="auto"/>
              </w:rPr>
              <w:t>10.2</w:t>
            </w:r>
          </w:p>
        </w:tc>
        <w:tc>
          <w:tcPr>
            <w:tcW w:w="40" w:type="dxa"/>
            <w:vAlign w:val="bottom"/>
          </w:tcPr>
          <w:p>
            <w:pPr>
              <w:spacing w:after="0"/>
              <w:rPr>
                <w:sz w:val="19"/>
                <w:szCs w:val="19"/>
                <w:color w:val="auto"/>
              </w:rPr>
            </w:pPr>
          </w:p>
        </w:tc>
        <w:tc>
          <w:tcPr>
            <w:tcW w:w="10300" w:type="dxa"/>
            <w:vAlign w:val="bottom"/>
            <w:gridSpan w:val="5"/>
          </w:tcPr>
          <w:p>
            <w:pPr>
              <w:spacing w:after="0"/>
              <w:rPr>
                <w:sz w:val="20"/>
                <w:szCs w:val="20"/>
                <w:color w:val="auto"/>
              </w:rPr>
            </w:pPr>
            <w:r>
              <w:rPr>
                <w:rFonts w:ascii="Arial" w:cs="Arial" w:eastAsia="Arial" w:hAnsi="Arial"/>
                <w:sz w:val="18"/>
                <w:szCs w:val="18"/>
                <w:color w:val="0000EE"/>
                <w:w w:val="93"/>
              </w:rPr>
              <w:t>Farmers Vending Co. Ltd. Purchase Agreement dated as of September 26, 2022, by and between Farmers Vending Machine Co. Ltd. and</w:t>
            </w:r>
          </w:p>
        </w:tc>
        <w:tc>
          <w:tcPr>
            <w:tcW w:w="0" w:type="dxa"/>
            <w:vAlign w:val="bottom"/>
          </w:tcPr>
          <w:p>
            <w:pPr>
              <w:spacing w:after="0"/>
              <w:rPr>
                <w:sz w:val="1"/>
                <w:szCs w:val="1"/>
                <w:color w:val="auto"/>
              </w:rPr>
            </w:pPr>
          </w:p>
        </w:tc>
      </w:tr>
      <w:tr>
        <w:trPr>
          <w:trHeight w:val="128"/>
        </w:trPr>
        <w:tc>
          <w:tcPr>
            <w:tcW w:w="840" w:type="dxa"/>
            <w:vAlign w:val="bottom"/>
            <w:vMerge w:val="continue"/>
          </w:tcPr>
          <w:p>
            <w:pPr>
              <w:spacing w:after="0"/>
              <w:rPr>
                <w:sz w:val="11"/>
                <w:szCs w:val="11"/>
                <w:color w:val="auto"/>
              </w:rPr>
            </w:pPr>
          </w:p>
        </w:tc>
        <w:tc>
          <w:tcPr>
            <w:tcW w:w="40" w:type="dxa"/>
            <w:vAlign w:val="bottom"/>
          </w:tcPr>
          <w:p>
            <w:pPr>
              <w:spacing w:after="0"/>
              <w:rPr>
                <w:sz w:val="11"/>
                <w:szCs w:val="11"/>
                <w:color w:val="auto"/>
              </w:rPr>
            </w:pPr>
          </w:p>
        </w:tc>
        <w:tc>
          <w:tcPr>
            <w:tcW w:w="880" w:type="dxa"/>
            <w:vAlign w:val="bottom"/>
            <w:tcBorders>
              <w:top w:val="single" w:sz="8" w:color="0000EE"/>
            </w:tcBorders>
            <w:vMerge w:val="restart"/>
          </w:tcPr>
          <w:p>
            <w:pPr>
              <w:spacing w:after="0" w:line="196" w:lineRule="exact"/>
              <w:rPr>
                <w:sz w:val="20"/>
                <w:szCs w:val="20"/>
                <w:color w:val="auto"/>
              </w:rPr>
            </w:pPr>
            <w:r>
              <w:rPr>
                <w:rFonts w:ascii="Arial" w:cs="Arial" w:eastAsia="Arial" w:hAnsi="Arial"/>
                <w:sz w:val="18"/>
                <w:szCs w:val="18"/>
                <w:color w:val="0000EE"/>
                <w:w w:val="88"/>
              </w:rPr>
              <w:t>Nocera, Inc.</w:t>
            </w:r>
          </w:p>
        </w:tc>
        <w:tc>
          <w:tcPr>
            <w:tcW w:w="9400" w:type="dxa"/>
            <w:vAlign w:val="bottom"/>
            <w:tcBorders>
              <w:top w:val="single" w:sz="8" w:color="0000EE"/>
            </w:tcBorders>
            <w:gridSpan w:val="3"/>
            <w:vMerge w:val="restart"/>
          </w:tcPr>
          <w:p>
            <w:pPr>
              <w:spacing w:after="0"/>
              <w:rPr>
                <w:sz w:val="11"/>
                <w:szCs w:val="11"/>
                <w:color w:val="auto"/>
              </w:rPr>
            </w:pPr>
          </w:p>
        </w:tc>
        <w:tc>
          <w:tcPr>
            <w:tcW w:w="20" w:type="dxa"/>
            <w:vAlign w:val="bottom"/>
            <w:vMerge w:val="restart"/>
          </w:tcPr>
          <w:p>
            <w:pPr>
              <w:spacing w:after="0"/>
              <w:rPr>
                <w:sz w:val="11"/>
                <w:szCs w:val="11"/>
                <w:color w:val="auto"/>
              </w:rPr>
            </w:pPr>
          </w:p>
        </w:tc>
        <w:tc>
          <w:tcPr>
            <w:tcW w:w="0" w:type="dxa"/>
            <w:vAlign w:val="bottom"/>
          </w:tcPr>
          <w:p>
            <w:pPr>
              <w:spacing w:after="0"/>
              <w:rPr>
                <w:sz w:val="1"/>
                <w:szCs w:val="1"/>
                <w:color w:val="auto"/>
              </w:rPr>
            </w:pPr>
          </w:p>
        </w:tc>
      </w:tr>
      <w:tr>
        <w:trPr>
          <w:trHeight w:val="73"/>
        </w:trPr>
        <w:tc>
          <w:tcPr>
            <w:tcW w:w="840" w:type="dxa"/>
            <w:vAlign w:val="bottom"/>
          </w:tcPr>
          <w:p>
            <w:pPr>
              <w:spacing w:after="0"/>
              <w:rPr>
                <w:sz w:val="5"/>
                <w:szCs w:val="5"/>
                <w:color w:val="auto"/>
              </w:rPr>
            </w:pPr>
          </w:p>
        </w:tc>
        <w:tc>
          <w:tcPr>
            <w:tcW w:w="40" w:type="dxa"/>
            <w:vAlign w:val="bottom"/>
          </w:tcPr>
          <w:p>
            <w:pPr>
              <w:spacing w:after="0"/>
              <w:rPr>
                <w:sz w:val="5"/>
                <w:szCs w:val="5"/>
                <w:color w:val="auto"/>
              </w:rPr>
            </w:pPr>
          </w:p>
        </w:tc>
        <w:tc>
          <w:tcPr>
            <w:tcW w:w="880" w:type="dxa"/>
            <w:vAlign w:val="bottom"/>
            <w:tcBorders>
              <w:bottom w:val="single" w:sz="8" w:color="0000EE"/>
            </w:tcBorders>
            <w:vMerge w:val="continue"/>
          </w:tcPr>
          <w:p>
            <w:pPr>
              <w:spacing w:after="0"/>
              <w:rPr>
                <w:sz w:val="5"/>
                <w:szCs w:val="5"/>
                <w:color w:val="auto"/>
              </w:rPr>
            </w:pPr>
          </w:p>
        </w:tc>
        <w:tc>
          <w:tcPr>
            <w:tcW w:w="9400" w:type="dxa"/>
            <w:vAlign w:val="bottom"/>
            <w:gridSpan w:val="3"/>
            <w:vMerge w:val="continue"/>
          </w:tcPr>
          <w:p>
            <w:pPr>
              <w:spacing w:after="0"/>
              <w:rPr>
                <w:sz w:val="5"/>
                <w:szCs w:val="5"/>
                <w:color w:val="auto"/>
              </w:rPr>
            </w:pPr>
          </w:p>
        </w:tc>
        <w:tc>
          <w:tcPr>
            <w:tcW w:w="2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23"/>
        </w:trPr>
        <w:tc>
          <w:tcPr>
            <w:tcW w:w="840" w:type="dxa"/>
            <w:vAlign w:val="bottom"/>
          </w:tcPr>
          <w:p>
            <w:pPr>
              <w:spacing w:after="0"/>
              <w:rPr>
                <w:sz w:val="20"/>
                <w:szCs w:val="20"/>
                <w:color w:val="auto"/>
              </w:rPr>
            </w:pPr>
            <w:r>
              <w:rPr>
                <w:rFonts w:ascii="Arial" w:cs="Arial" w:eastAsia="Arial" w:hAnsi="Arial"/>
                <w:sz w:val="18"/>
                <w:szCs w:val="18"/>
                <w:color w:val="auto"/>
              </w:rPr>
              <w:t>99.1</w:t>
            </w:r>
          </w:p>
        </w:tc>
        <w:tc>
          <w:tcPr>
            <w:tcW w:w="40" w:type="dxa"/>
            <w:vAlign w:val="bottom"/>
          </w:tcPr>
          <w:p>
            <w:pPr>
              <w:spacing w:after="0"/>
              <w:rPr>
                <w:sz w:val="19"/>
                <w:szCs w:val="19"/>
                <w:color w:val="auto"/>
              </w:rPr>
            </w:pPr>
          </w:p>
        </w:tc>
        <w:tc>
          <w:tcPr>
            <w:tcW w:w="10300" w:type="dxa"/>
            <w:vAlign w:val="bottom"/>
            <w:gridSpan w:val="5"/>
          </w:tcPr>
          <w:p>
            <w:pPr>
              <w:spacing w:after="0"/>
              <w:rPr>
                <w:sz w:val="20"/>
                <w:szCs w:val="20"/>
                <w:color w:val="auto"/>
              </w:rPr>
            </w:pPr>
            <w:r>
              <w:rPr>
                <w:rFonts w:ascii="Arial" w:cs="Arial" w:eastAsia="Arial" w:hAnsi="Arial"/>
                <w:sz w:val="18"/>
                <w:szCs w:val="18"/>
                <w:color w:val="0000EE"/>
              </w:rPr>
              <w:t>Press release of Nocera, Inc., dated September 29, 2022</w:t>
            </w:r>
          </w:p>
        </w:tc>
        <w:tc>
          <w:tcPr>
            <w:tcW w:w="0" w:type="dxa"/>
            <w:vAlign w:val="bottom"/>
          </w:tcPr>
          <w:p>
            <w:pPr>
              <w:spacing w:after="0"/>
              <w:rPr>
                <w:sz w:val="1"/>
                <w:szCs w:val="1"/>
                <w:color w:val="auto"/>
              </w:rPr>
            </w:pPr>
          </w:p>
        </w:tc>
      </w:tr>
      <w:tr>
        <w:trPr>
          <w:trHeight w:val="20"/>
        </w:trPr>
        <w:tc>
          <w:tcPr>
            <w:tcW w:w="8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80" w:type="dxa"/>
            <w:vAlign w:val="bottom"/>
            <w:shd w:val="clear" w:color="auto" w:fill="0000EE"/>
          </w:tcPr>
          <w:p>
            <w:pPr>
              <w:spacing w:after="0" w:line="20" w:lineRule="exact"/>
              <w:rPr>
                <w:sz w:val="1"/>
                <w:szCs w:val="1"/>
                <w:color w:val="auto"/>
              </w:rPr>
            </w:pPr>
          </w:p>
        </w:tc>
        <w:tc>
          <w:tcPr>
            <w:tcW w:w="3120" w:type="dxa"/>
            <w:vAlign w:val="bottom"/>
            <w:shd w:val="clear" w:color="auto" w:fill="0000EE"/>
          </w:tcPr>
          <w:p>
            <w:pPr>
              <w:spacing w:after="0" w:line="20" w:lineRule="exact"/>
              <w:rPr>
                <w:sz w:val="1"/>
                <w:szCs w:val="1"/>
                <w:color w:val="auto"/>
              </w:rPr>
            </w:pPr>
          </w:p>
        </w:tc>
        <w:tc>
          <w:tcPr>
            <w:tcW w:w="4720" w:type="dxa"/>
            <w:vAlign w:val="bottom"/>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15" w:right="339" w:bottom="1440" w:gutter="0" w:footer="0" w:header="0"/>
        </w:sectPr>
      </w:pPr>
    </w:p>
    <w:bookmarkStart w:id="2" w:name="page3"/>
    <w:bookmarkEnd w:id="2"/>
    <w:p>
      <w:pPr>
        <w:jc w:val="center"/>
        <w:ind w:right="-319"/>
        <w:spacing w:after="0"/>
        <w:rPr>
          <w:sz w:val="20"/>
          <w:szCs w:val="20"/>
          <w:color w:val="auto"/>
        </w:rPr>
      </w:pPr>
      <w:r>
        <w:rPr>
          <w:rFonts w:ascii="Arial" w:cs="Arial" w:eastAsia="Arial" w:hAnsi="Arial"/>
          <w:sz w:val="18"/>
          <w:szCs w:val="18"/>
          <w:b w:val="1"/>
          <w:bCs w:val="1"/>
          <w:color w:val="auto"/>
        </w:rPr>
        <w:t>SIGNATURES</w:t>
      </w:r>
    </w:p>
    <w:p>
      <w:pPr>
        <w:spacing w:after="0" w:line="229" w:lineRule="exact"/>
        <w:rPr>
          <w:sz w:val="20"/>
          <w:szCs w:val="20"/>
          <w:color w:val="auto"/>
        </w:rPr>
      </w:pPr>
    </w:p>
    <w:p>
      <w:pPr>
        <w:ind w:firstLine="648"/>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hereunto duly authorized.</w:t>
      </w:r>
    </w:p>
    <w:p>
      <w:pPr>
        <w:spacing w:after="0" w:line="38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3760" w:type="dxa"/>
            <w:vAlign w:val="bottom"/>
          </w:tcPr>
          <w:p>
            <w:pPr>
              <w:spacing w:after="0"/>
              <w:rPr>
                <w:sz w:val="20"/>
                <w:szCs w:val="20"/>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b w:val="1"/>
                <w:bCs w:val="1"/>
                <w:color w:val="auto"/>
              </w:rPr>
              <w:t>NOCERA, INC.</w:t>
            </w:r>
          </w:p>
        </w:tc>
      </w:tr>
      <w:tr>
        <w:trPr>
          <w:trHeight w:val="391"/>
        </w:trPr>
        <w:tc>
          <w:tcPr>
            <w:tcW w:w="3760" w:type="dxa"/>
            <w:vAlign w:val="bottom"/>
          </w:tcPr>
          <w:p>
            <w:pPr>
              <w:spacing w:after="0"/>
              <w:rPr>
                <w:sz w:val="20"/>
                <w:szCs w:val="20"/>
                <w:color w:val="auto"/>
              </w:rPr>
            </w:pPr>
            <w:r>
              <w:rPr>
                <w:rFonts w:ascii="Arial" w:cs="Arial" w:eastAsia="Arial" w:hAnsi="Arial"/>
                <w:sz w:val="18"/>
                <w:szCs w:val="18"/>
                <w:color w:val="auto"/>
              </w:rPr>
              <w:t>Date: September 30, 2022</w:t>
            </w: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rPr>
              <w:t xml:space="preserve">By: </w:t>
            </w:r>
            <w:r>
              <w:rPr>
                <w:rFonts w:ascii="Arial" w:cs="Arial" w:eastAsia="Arial" w:hAnsi="Arial"/>
                <w:sz w:val="18"/>
                <w:szCs w:val="18"/>
                <w:i w:val="1"/>
                <w:iCs w:val="1"/>
                <w:color w:val="auto"/>
              </w:rPr>
              <w:t>/s/ Yin-Chieh Cheng</w:t>
            </w:r>
          </w:p>
        </w:tc>
      </w:tr>
      <w:tr>
        <w:trPr>
          <w:trHeight w:val="20"/>
        </w:trPr>
        <w:tc>
          <w:tcPr>
            <w:tcW w:w="3760" w:type="dxa"/>
            <w:vAlign w:val="bottom"/>
          </w:tcPr>
          <w:p>
            <w:pPr>
              <w:spacing w:after="0" w:line="20" w:lineRule="exact"/>
              <w:rPr>
                <w:sz w:val="1"/>
                <w:szCs w:val="1"/>
                <w:color w:val="auto"/>
              </w:rPr>
            </w:pPr>
          </w:p>
        </w:tc>
        <w:tc>
          <w:tcPr>
            <w:tcW w:w="216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1420" w:type="dxa"/>
            <w:vAlign w:val="bottom"/>
          </w:tcPr>
          <w:p>
            <w:pPr>
              <w:spacing w:after="0" w:line="20" w:lineRule="exact"/>
              <w:rPr>
                <w:sz w:val="1"/>
                <w:szCs w:val="1"/>
                <w:color w:val="auto"/>
              </w:rPr>
            </w:pPr>
          </w:p>
        </w:tc>
      </w:tr>
      <w:tr>
        <w:trPr>
          <w:trHeight w:val="222"/>
        </w:trPr>
        <w:tc>
          <w:tcPr>
            <w:tcW w:w="3760" w:type="dxa"/>
            <w:vAlign w:val="bottom"/>
          </w:tcPr>
          <w:p>
            <w:pPr>
              <w:spacing w:after="0"/>
              <w:rPr>
                <w:sz w:val="19"/>
                <w:szCs w:val="19"/>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rPr>
              <w:t>Name: Yin-Chieh Cheng</w:t>
            </w:r>
          </w:p>
        </w:tc>
      </w:tr>
      <w:tr>
        <w:trPr>
          <w:trHeight w:val="230"/>
        </w:trPr>
        <w:tc>
          <w:tcPr>
            <w:tcW w:w="3760" w:type="dxa"/>
            <w:vAlign w:val="bottom"/>
          </w:tcPr>
          <w:p>
            <w:pPr>
              <w:spacing w:after="0"/>
              <w:rPr>
                <w:sz w:val="20"/>
                <w:szCs w:val="20"/>
                <w:color w:val="auto"/>
              </w:rPr>
            </w:pPr>
          </w:p>
        </w:tc>
        <w:tc>
          <w:tcPr>
            <w:tcW w:w="5040" w:type="dxa"/>
            <w:vAlign w:val="bottom"/>
            <w:gridSpan w:val="3"/>
          </w:tcPr>
          <w:p>
            <w:pPr>
              <w:ind w:left="1860"/>
              <w:spacing w:after="0"/>
              <w:rPr>
                <w:sz w:val="20"/>
                <w:szCs w:val="20"/>
                <w:color w:val="auto"/>
              </w:rPr>
            </w:pPr>
            <w:r>
              <w:rPr>
                <w:rFonts w:ascii="Arial" w:cs="Arial" w:eastAsia="Arial" w:hAnsi="Arial"/>
                <w:sz w:val="18"/>
                <w:szCs w:val="18"/>
                <w:color w:val="auto"/>
                <w:w w:val="92"/>
              </w:rPr>
              <w:t>Title: President and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ind w:right="-33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920"/>
          </w:cols>
          <w:pgMar w:left="320" w:top="796" w:right="659" w:bottom="1440" w:gutter="0" w:footer="0" w:header="0"/>
        </w:sectPr>
      </w:pPr>
    </w:p>
    <w:bookmarkStart w:id="3" w:name="page4"/>
    <w:bookmarkEnd w:id="3"/>
    <w:p>
      <w:pPr>
        <w:jc w:val="right"/>
        <w:spacing w:after="0"/>
        <w:rPr>
          <w:sz w:val="20"/>
          <w:szCs w:val="20"/>
          <w:color w:val="auto"/>
        </w:rPr>
      </w:pPr>
      <w:r>
        <w:rPr>
          <w:rFonts w:ascii="Arial" w:cs="Arial" w:eastAsia="Arial" w:hAnsi="Arial"/>
          <w:sz w:val="22"/>
          <w:szCs w:val="22"/>
          <w:b w:val="1"/>
          <w:bCs w:val="1"/>
          <w:color w:val="auto"/>
        </w:rPr>
        <w:t>Exhibit 10.1</w:t>
      </w:r>
    </w:p>
    <w:p>
      <w:pPr>
        <w:spacing w:after="0" w:line="243"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VARIABLE INTEREST ENTITY PURCHASE AGREEMENT</w:t>
      </w:r>
    </w:p>
    <w:p>
      <w:pPr>
        <w:spacing w:after="0" w:line="229" w:lineRule="exact"/>
        <w:rPr>
          <w:sz w:val="20"/>
          <w:szCs w:val="20"/>
          <w:color w:val="auto"/>
        </w:rPr>
      </w:pPr>
    </w:p>
    <w:p>
      <w:pPr>
        <w:ind w:right="300"/>
        <w:spacing w:after="0" w:line="277" w:lineRule="auto"/>
        <w:rPr>
          <w:sz w:val="20"/>
          <w:szCs w:val="20"/>
          <w:color w:val="auto"/>
        </w:rPr>
      </w:pPr>
      <w:r>
        <w:rPr>
          <w:rFonts w:ascii="Arial" w:cs="Arial" w:eastAsia="Arial" w:hAnsi="Arial"/>
          <w:sz w:val="18"/>
          <w:szCs w:val="18"/>
          <w:color w:val="auto"/>
        </w:rPr>
        <w:t>This VARIABLE INTEREST ENTITY PURCHASE AGREEMENT (Agreement), dated September 26, 2022, is made by between Yin-Chieh Cheng of Nocera (“Purchaser”), Inc. and Han-Chieh Shih of iTake Inc. (“Seller”)</w:t>
      </w:r>
    </w:p>
    <w:p>
      <w:pPr>
        <w:spacing w:after="0" w:line="170" w:lineRule="exact"/>
        <w:rPr>
          <w:sz w:val="20"/>
          <w:szCs w:val="20"/>
          <w:color w:val="auto"/>
        </w:rPr>
      </w:pPr>
    </w:p>
    <w:p>
      <w:pPr>
        <w:ind w:right="380"/>
        <w:spacing w:after="0" w:line="277" w:lineRule="auto"/>
        <w:rPr>
          <w:sz w:val="20"/>
          <w:szCs w:val="20"/>
          <w:color w:val="auto"/>
        </w:rPr>
      </w:pPr>
      <w:r>
        <w:rPr>
          <w:rFonts w:ascii="Arial" w:cs="Arial" w:eastAsia="Arial" w:hAnsi="Arial"/>
          <w:sz w:val="18"/>
          <w:szCs w:val="18"/>
          <w:color w:val="auto"/>
        </w:rPr>
        <w:t>In consideration of the mutual promises and covenants in this Agreement, the Parties agree to the Purchase of controlling interest of a Variable Interest Entity and the Terms and Conditions as set forth below.</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Purchase</w:t>
      </w:r>
    </w:p>
    <w:p>
      <w:pPr>
        <w:spacing w:after="0" w:line="229" w:lineRule="exact"/>
        <w:rPr>
          <w:sz w:val="20"/>
          <w:szCs w:val="20"/>
          <w:color w:val="auto"/>
        </w:rPr>
      </w:pPr>
    </w:p>
    <w:p>
      <w:pPr>
        <w:ind w:right="80"/>
        <w:spacing w:after="0" w:line="277" w:lineRule="auto"/>
        <w:rPr>
          <w:sz w:val="20"/>
          <w:szCs w:val="20"/>
          <w:color w:val="auto"/>
        </w:rPr>
      </w:pPr>
      <w:r>
        <w:rPr>
          <w:rFonts w:ascii="Arial" w:cs="Arial" w:eastAsia="Arial" w:hAnsi="Arial"/>
          <w:sz w:val="18"/>
          <w:szCs w:val="18"/>
          <w:color w:val="auto"/>
        </w:rPr>
        <w:t>The Purchaser shall purchase Seller’s 51% controlling interest of iTake Inc. with address at 11F., NO. 37, SEC. 1, KAIFENG ST., ZHONGZHENG DIST., TAIPEI CITY 10044, TAIWAN (R.O.C.)</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Terms And Conditions</w:t>
      </w:r>
    </w:p>
    <w:p>
      <w:pPr>
        <w:spacing w:after="0" w:line="225" w:lineRule="exact"/>
        <w:rPr>
          <w:sz w:val="20"/>
          <w:szCs w:val="20"/>
          <w:color w:val="auto"/>
        </w:rPr>
      </w:pPr>
    </w:p>
    <w:p>
      <w:pPr>
        <w:ind w:left="440" w:hanging="432"/>
        <w:spacing w:after="0"/>
        <w:tabs>
          <w:tab w:leader="none" w:pos="440" w:val="left"/>
        </w:tabs>
        <w:numPr>
          <w:ilvl w:val="0"/>
          <w:numId w:val="2"/>
        </w:numPr>
        <w:rPr>
          <w:rFonts w:ascii="Arial" w:cs="Arial" w:eastAsia="Arial" w:hAnsi="Arial"/>
          <w:sz w:val="18"/>
          <w:szCs w:val="18"/>
          <w:b w:val="1"/>
          <w:bCs w:val="1"/>
          <w:color w:val="auto"/>
        </w:rPr>
      </w:pPr>
      <w:r>
        <w:rPr>
          <w:rFonts w:ascii="Arial" w:cs="Arial" w:eastAsia="Arial" w:hAnsi="Arial"/>
          <w:sz w:val="18"/>
          <w:szCs w:val="18"/>
          <w:b w:val="1"/>
          <w:bCs w:val="1"/>
          <w:color w:val="auto"/>
        </w:rPr>
        <w:t>Purchase Price</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The purchase price of 51% controlling interest shall be $200,000 US Dollars plus 100,000 Class A warrants.</w:t>
      </w:r>
    </w:p>
    <w:p>
      <w:pPr>
        <w:spacing w:after="0" w:line="221" w:lineRule="exact"/>
        <w:rPr>
          <w:sz w:val="20"/>
          <w:szCs w:val="20"/>
          <w:color w:val="auto"/>
        </w:rPr>
      </w:pPr>
    </w:p>
    <w:p>
      <w:pPr>
        <w:ind w:left="440" w:hanging="432"/>
        <w:spacing w:after="0"/>
        <w:tabs>
          <w:tab w:leader="none" w:pos="440" w:val="left"/>
        </w:tabs>
        <w:numPr>
          <w:ilvl w:val="0"/>
          <w:numId w:val="3"/>
        </w:numPr>
        <w:rPr>
          <w:rFonts w:ascii="Arial" w:cs="Arial" w:eastAsia="Arial" w:hAnsi="Arial"/>
          <w:sz w:val="18"/>
          <w:szCs w:val="18"/>
          <w:b w:val="1"/>
          <w:bCs w:val="1"/>
          <w:color w:val="auto"/>
        </w:rPr>
      </w:pPr>
      <w:r>
        <w:rPr>
          <w:rFonts w:ascii="Arial" w:cs="Arial" w:eastAsia="Arial" w:hAnsi="Arial"/>
          <w:sz w:val="18"/>
          <w:szCs w:val="18"/>
          <w:b w:val="1"/>
          <w:bCs w:val="1"/>
          <w:color w:val="auto"/>
        </w:rPr>
        <w:t>Payment</w:t>
      </w:r>
    </w:p>
    <w:p>
      <w:pPr>
        <w:spacing w:after="0" w:line="256" w:lineRule="exact"/>
        <w:rPr>
          <w:sz w:val="20"/>
          <w:szCs w:val="20"/>
          <w:color w:val="auto"/>
        </w:rPr>
      </w:pPr>
    </w:p>
    <w:p>
      <w:pPr>
        <w:spacing w:after="0"/>
        <w:rPr>
          <w:sz w:val="20"/>
          <w:szCs w:val="20"/>
          <w:color w:val="auto"/>
        </w:rPr>
      </w:pPr>
      <w:r>
        <w:rPr>
          <w:rFonts w:ascii="Arial" w:cs="Arial" w:eastAsia="Arial" w:hAnsi="Arial"/>
          <w:sz w:val="17"/>
          <w:szCs w:val="17"/>
          <w:color w:val="auto"/>
        </w:rPr>
        <w:t>Upon signing the contract, Purchaser shall pay a payment of US$200,000 to Seller and issue 100,000 Class A warrants within 60 days of signing.</w:t>
      </w:r>
    </w:p>
    <w:p>
      <w:pPr>
        <w:spacing w:after="0" w:line="233" w:lineRule="exact"/>
        <w:rPr>
          <w:sz w:val="20"/>
          <w:szCs w:val="20"/>
          <w:color w:val="auto"/>
        </w:rPr>
      </w:pPr>
    </w:p>
    <w:p>
      <w:pPr>
        <w:ind w:left="440" w:hanging="432"/>
        <w:spacing w:after="0"/>
        <w:tabs>
          <w:tab w:leader="none" w:pos="440" w:val="left"/>
        </w:tabs>
        <w:numPr>
          <w:ilvl w:val="0"/>
          <w:numId w:val="4"/>
        </w:numPr>
        <w:rPr>
          <w:rFonts w:ascii="Arial" w:cs="Arial" w:eastAsia="Arial" w:hAnsi="Arial"/>
          <w:sz w:val="18"/>
          <w:szCs w:val="18"/>
          <w:b w:val="1"/>
          <w:bCs w:val="1"/>
          <w:color w:val="auto"/>
        </w:rPr>
      </w:pPr>
      <w:r>
        <w:rPr>
          <w:rFonts w:ascii="Arial" w:cs="Arial" w:eastAsia="Arial" w:hAnsi="Arial"/>
          <w:sz w:val="18"/>
          <w:szCs w:val="18"/>
          <w:b w:val="1"/>
          <w:bCs w:val="1"/>
          <w:color w:val="auto"/>
        </w:rPr>
        <w:t>Effective Date</w:t>
      </w:r>
    </w:p>
    <w:p>
      <w:pPr>
        <w:spacing w:after="0" w:line="260" w:lineRule="exact"/>
        <w:rPr>
          <w:sz w:val="20"/>
          <w:szCs w:val="20"/>
          <w:color w:val="auto"/>
        </w:rPr>
      </w:pPr>
    </w:p>
    <w:p>
      <w:pPr>
        <w:spacing w:after="0"/>
        <w:rPr>
          <w:sz w:val="20"/>
          <w:szCs w:val="20"/>
          <w:color w:val="auto"/>
        </w:rPr>
      </w:pPr>
      <w:r>
        <w:rPr>
          <w:rFonts w:ascii="Arial" w:cs="Arial" w:eastAsia="Arial" w:hAnsi="Arial"/>
          <w:sz w:val="18"/>
          <w:szCs w:val="18"/>
          <w:color w:val="auto"/>
        </w:rPr>
        <w:t>The Effective Date of this Agreement shall be 15</w:t>
      </w:r>
      <w:r>
        <w:rPr>
          <w:rFonts w:ascii="Arial" w:cs="Arial" w:eastAsia="Arial" w:hAnsi="Arial"/>
          <w:sz w:val="29"/>
          <w:szCs w:val="29"/>
          <w:color w:val="auto"/>
          <w:vertAlign w:val="superscript"/>
        </w:rPr>
        <w:t>th</w:t>
      </w:r>
      <w:r>
        <w:rPr>
          <w:rFonts w:ascii="Arial" w:cs="Arial" w:eastAsia="Arial" w:hAnsi="Arial"/>
          <w:sz w:val="18"/>
          <w:szCs w:val="18"/>
          <w:color w:val="auto"/>
        </w:rPr>
        <w:t xml:space="preserve"> date after payment is made.</w:t>
      </w:r>
    </w:p>
    <w:p>
      <w:pPr>
        <w:spacing w:after="0" w:line="131" w:lineRule="exact"/>
        <w:rPr>
          <w:sz w:val="20"/>
          <w:szCs w:val="20"/>
          <w:color w:val="auto"/>
        </w:rPr>
      </w:pPr>
    </w:p>
    <w:p>
      <w:pPr>
        <w:ind w:left="440" w:hanging="432"/>
        <w:spacing w:after="0"/>
        <w:tabs>
          <w:tab w:leader="none" w:pos="440" w:val="left"/>
        </w:tabs>
        <w:numPr>
          <w:ilvl w:val="0"/>
          <w:numId w:val="5"/>
        </w:numPr>
        <w:rPr>
          <w:rFonts w:ascii="Arial" w:cs="Arial" w:eastAsia="Arial" w:hAnsi="Arial"/>
          <w:sz w:val="18"/>
          <w:szCs w:val="18"/>
          <w:b w:val="1"/>
          <w:bCs w:val="1"/>
          <w:color w:val="auto"/>
        </w:rPr>
      </w:pPr>
      <w:r>
        <w:rPr>
          <w:rFonts w:ascii="Arial" w:cs="Arial" w:eastAsia="Arial" w:hAnsi="Arial"/>
          <w:sz w:val="18"/>
          <w:szCs w:val="18"/>
          <w:b w:val="1"/>
          <w:bCs w:val="1"/>
          <w:color w:val="auto"/>
        </w:rPr>
        <w:t>Delivery</w:t>
      </w:r>
    </w:p>
    <w:p>
      <w:pPr>
        <w:spacing w:after="0" w:line="256" w:lineRule="exact"/>
        <w:rPr>
          <w:sz w:val="20"/>
          <w:szCs w:val="20"/>
          <w:color w:val="auto"/>
        </w:rPr>
      </w:pPr>
    </w:p>
    <w:p>
      <w:pPr>
        <w:ind w:right="40"/>
        <w:spacing w:after="0" w:line="277" w:lineRule="auto"/>
        <w:rPr>
          <w:sz w:val="20"/>
          <w:szCs w:val="20"/>
          <w:color w:val="auto"/>
        </w:rPr>
      </w:pPr>
      <w:r>
        <w:rPr>
          <w:rFonts w:ascii="Arial" w:cs="Arial" w:eastAsia="Arial" w:hAnsi="Arial"/>
          <w:sz w:val="18"/>
          <w:szCs w:val="18"/>
          <w:color w:val="auto"/>
        </w:rPr>
        <w:t>At the effective date, the Seller shall deliver all Variable Interest Agreements and the Variable Interest Agreement legal opinion representing the controlling interest purchased by the Purchaser.</w:t>
      </w:r>
    </w:p>
    <w:p>
      <w:pPr>
        <w:spacing w:after="0" w:line="166" w:lineRule="exact"/>
        <w:rPr>
          <w:sz w:val="20"/>
          <w:szCs w:val="20"/>
          <w:color w:val="auto"/>
        </w:rPr>
      </w:pPr>
    </w:p>
    <w:p>
      <w:pPr>
        <w:ind w:left="440" w:hanging="432"/>
        <w:spacing w:after="0"/>
        <w:tabs>
          <w:tab w:leader="none" w:pos="440" w:val="left"/>
        </w:tabs>
        <w:numPr>
          <w:ilvl w:val="0"/>
          <w:numId w:val="6"/>
        </w:numPr>
        <w:rPr>
          <w:rFonts w:ascii="Arial" w:cs="Arial" w:eastAsia="Arial" w:hAnsi="Arial"/>
          <w:sz w:val="18"/>
          <w:szCs w:val="18"/>
          <w:b w:val="1"/>
          <w:bCs w:val="1"/>
          <w:color w:val="auto"/>
        </w:rPr>
      </w:pPr>
      <w:r>
        <w:rPr>
          <w:rFonts w:ascii="Arial" w:cs="Arial" w:eastAsia="Arial" w:hAnsi="Arial"/>
          <w:sz w:val="18"/>
          <w:szCs w:val="18"/>
          <w:b w:val="1"/>
          <w:bCs w:val="1"/>
          <w:color w:val="auto"/>
        </w:rPr>
        <w:t>Warranty of the Seller</w:t>
      </w:r>
    </w:p>
    <w:p>
      <w:pPr>
        <w:spacing w:after="0" w:line="256" w:lineRule="exact"/>
        <w:rPr>
          <w:sz w:val="20"/>
          <w:szCs w:val="20"/>
          <w:color w:val="auto"/>
        </w:rPr>
      </w:pPr>
    </w:p>
    <w:p>
      <w:pPr>
        <w:ind w:right="140"/>
        <w:spacing w:after="0" w:line="308" w:lineRule="auto"/>
        <w:rPr>
          <w:sz w:val="20"/>
          <w:szCs w:val="20"/>
          <w:color w:val="auto"/>
        </w:rPr>
      </w:pPr>
      <w:r>
        <w:rPr>
          <w:rFonts w:ascii="Arial" w:cs="Arial" w:eastAsia="Arial" w:hAnsi="Arial"/>
          <w:sz w:val="17"/>
          <w:szCs w:val="17"/>
          <w:color w:val="auto"/>
        </w:rPr>
        <w:t>The Seller warrants that the consummation of this Agreement does not violate any terms or provision of the bylaws of the company or any contract or any commitment. Moreover, the Seller warrants that there are no actions, proceedings or investigation pending against the Seller.</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12" w:right="339" w:bottom="1440" w:gutter="0" w:footer="0" w:header="0"/>
        </w:sectPr>
      </w:pPr>
    </w:p>
    <w:bookmarkStart w:id="4" w:name="page5"/>
    <w:bookmarkEnd w:id="4"/>
    <w:p>
      <w:pPr>
        <w:ind w:left="440" w:hanging="432"/>
        <w:spacing w:after="0"/>
        <w:tabs>
          <w:tab w:leader="none" w:pos="440" w:val="left"/>
        </w:tabs>
        <w:numPr>
          <w:ilvl w:val="0"/>
          <w:numId w:val="7"/>
        </w:numPr>
        <w:rPr>
          <w:rFonts w:ascii="Arial" w:cs="Arial" w:eastAsia="Arial" w:hAnsi="Arial"/>
          <w:sz w:val="18"/>
          <w:szCs w:val="18"/>
          <w:b w:val="1"/>
          <w:bCs w:val="1"/>
          <w:color w:val="auto"/>
        </w:rPr>
      </w:pPr>
      <w:r>
        <w:rPr>
          <w:rFonts w:ascii="Arial" w:cs="Arial" w:eastAsia="Arial" w:hAnsi="Arial"/>
          <w:sz w:val="18"/>
          <w:szCs w:val="18"/>
          <w:b w:val="1"/>
          <w:bCs w:val="1"/>
          <w:color w:val="auto"/>
        </w:rPr>
        <w:t>Warranty of the Purchaser</w:t>
      </w:r>
    </w:p>
    <w:p>
      <w:pPr>
        <w:spacing w:after="0" w:line="256" w:lineRule="exact"/>
        <w:rPr>
          <w:sz w:val="20"/>
          <w:szCs w:val="20"/>
          <w:color w:val="auto"/>
        </w:rPr>
      </w:pPr>
    </w:p>
    <w:p>
      <w:pPr>
        <w:spacing w:after="0" w:line="342" w:lineRule="auto"/>
        <w:rPr>
          <w:sz w:val="20"/>
          <w:szCs w:val="20"/>
          <w:color w:val="auto"/>
        </w:rPr>
      </w:pPr>
      <w:r>
        <w:rPr>
          <w:rFonts w:ascii="Arial" w:cs="Arial" w:eastAsia="Arial" w:hAnsi="Arial"/>
          <w:sz w:val="16"/>
          <w:szCs w:val="16"/>
          <w:color w:val="auto"/>
        </w:rPr>
        <w:t>The Purchaser understands the risks of investments related to the company and claims they are able to bear the risks. The Purchaser has enough knowledge and experience in the financial and business matters, making the Purchaser capable of evaluating the merits and risks associated with this Agreement.</w:t>
      </w:r>
    </w:p>
    <w:p>
      <w:pPr>
        <w:spacing w:after="0" w:line="120" w:lineRule="exact"/>
        <w:rPr>
          <w:sz w:val="20"/>
          <w:szCs w:val="20"/>
          <w:color w:val="auto"/>
        </w:rPr>
      </w:pPr>
    </w:p>
    <w:p>
      <w:pPr>
        <w:ind w:left="440" w:hanging="432"/>
        <w:spacing w:after="0"/>
        <w:tabs>
          <w:tab w:leader="none" w:pos="440" w:val="left"/>
        </w:tabs>
        <w:numPr>
          <w:ilvl w:val="0"/>
          <w:numId w:val="8"/>
        </w:numPr>
        <w:rPr>
          <w:rFonts w:ascii="Arial" w:cs="Arial" w:eastAsia="Arial" w:hAnsi="Arial"/>
          <w:sz w:val="18"/>
          <w:szCs w:val="18"/>
          <w:b w:val="1"/>
          <w:bCs w:val="1"/>
          <w:color w:val="auto"/>
        </w:rPr>
      </w:pPr>
      <w:r>
        <w:rPr>
          <w:rFonts w:ascii="Arial" w:cs="Arial" w:eastAsia="Arial" w:hAnsi="Arial"/>
          <w:sz w:val="18"/>
          <w:szCs w:val="18"/>
          <w:b w:val="1"/>
          <w:bCs w:val="1"/>
          <w:color w:val="auto"/>
        </w:rPr>
        <w:t>Governing Law</w:t>
      </w: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This agreement shall be governed by the civil law and the Company law of Taiwan.</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5620" w:type="dxa"/>
            <w:vAlign w:val="bottom"/>
            <w:gridSpan w:val="5"/>
          </w:tcPr>
          <w:p>
            <w:pPr>
              <w:spacing w:after="0"/>
              <w:rPr>
                <w:sz w:val="20"/>
                <w:szCs w:val="20"/>
                <w:color w:val="auto"/>
              </w:rPr>
            </w:pPr>
            <w:r>
              <w:rPr>
                <w:rFonts w:ascii="Arial" w:cs="Arial" w:eastAsia="Arial" w:hAnsi="Arial"/>
                <w:sz w:val="18"/>
                <w:szCs w:val="18"/>
                <w:color w:val="auto"/>
              </w:rPr>
              <w:t>Purchaser</w:t>
            </w:r>
          </w:p>
        </w:tc>
        <w:tc>
          <w:tcPr>
            <w:tcW w:w="2080" w:type="dxa"/>
            <w:vAlign w:val="bottom"/>
            <w:gridSpan w:val="2"/>
          </w:tcPr>
          <w:p>
            <w:pPr>
              <w:spacing w:after="0"/>
              <w:rPr>
                <w:sz w:val="20"/>
                <w:szCs w:val="20"/>
                <w:color w:val="auto"/>
              </w:rPr>
            </w:pPr>
            <w:r>
              <w:rPr>
                <w:rFonts w:ascii="Arial" w:cs="Arial" w:eastAsia="Arial" w:hAnsi="Arial"/>
                <w:sz w:val="18"/>
                <w:szCs w:val="18"/>
                <w:color w:val="auto"/>
              </w:rPr>
              <w:t>Seller</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b w:val="1"/>
                <w:bCs w:val="1"/>
                <w:color w:val="auto"/>
              </w:rPr>
              <w:t>Nocera, Inc</w:t>
            </w:r>
          </w:p>
        </w:tc>
        <w:tc>
          <w:tcPr>
            <w:tcW w:w="1380" w:type="dxa"/>
            <w:vAlign w:val="bottom"/>
          </w:tcPr>
          <w:p>
            <w:pPr>
              <w:spacing w:after="0"/>
              <w:rPr>
                <w:sz w:val="24"/>
                <w:szCs w:val="24"/>
                <w:color w:val="auto"/>
              </w:rPr>
            </w:pPr>
          </w:p>
        </w:tc>
        <w:tc>
          <w:tcPr>
            <w:tcW w:w="700" w:type="dxa"/>
            <w:vAlign w:val="bottom"/>
          </w:tcPr>
          <w:p>
            <w:pPr>
              <w:spacing w:after="0"/>
              <w:rPr>
                <w:sz w:val="24"/>
                <w:szCs w:val="24"/>
                <w:color w:val="auto"/>
              </w:rPr>
            </w:pPr>
          </w:p>
        </w:tc>
      </w:tr>
      <w:tr>
        <w:trPr>
          <w:trHeight w:val="391"/>
        </w:trPr>
        <w:tc>
          <w:tcPr>
            <w:tcW w:w="5620" w:type="dxa"/>
            <w:vAlign w:val="bottom"/>
            <w:gridSpan w:val="5"/>
          </w:tcPr>
          <w:p>
            <w:pPr>
              <w:spacing w:after="0"/>
              <w:rPr>
                <w:sz w:val="20"/>
                <w:szCs w:val="20"/>
                <w:color w:val="auto"/>
              </w:rPr>
            </w:pPr>
            <w:r>
              <w:rPr>
                <w:rFonts w:ascii="Arial" w:cs="Arial" w:eastAsia="Arial" w:hAnsi="Arial"/>
                <w:sz w:val="18"/>
                <w:szCs w:val="18"/>
                <w:i w:val="1"/>
                <w:iCs w:val="1"/>
                <w:color w:val="auto"/>
              </w:rPr>
              <w:t>/s/ Yin-Chieh Cheng</w:t>
            </w:r>
          </w:p>
        </w:tc>
        <w:tc>
          <w:tcPr>
            <w:tcW w:w="2080" w:type="dxa"/>
            <w:vAlign w:val="bottom"/>
            <w:gridSpan w:val="2"/>
          </w:tcPr>
          <w:p>
            <w:pPr>
              <w:spacing w:after="0"/>
              <w:rPr>
                <w:sz w:val="20"/>
                <w:szCs w:val="20"/>
                <w:color w:val="auto"/>
              </w:rPr>
            </w:pPr>
            <w:r>
              <w:rPr>
                <w:rFonts w:ascii="Arial" w:cs="Arial" w:eastAsia="Arial" w:hAnsi="Arial"/>
                <w:sz w:val="18"/>
                <w:szCs w:val="18"/>
                <w:i w:val="1"/>
                <w:iCs w:val="1"/>
                <w:color w:val="auto"/>
              </w:rPr>
              <w:t>/s/ Shih,Han-Chieh</w:t>
            </w:r>
          </w:p>
        </w:tc>
      </w:tr>
      <w:tr>
        <w:trPr>
          <w:trHeight w:val="20"/>
        </w:trPr>
        <w:tc>
          <w:tcPr>
            <w:tcW w:w="220" w:type="dxa"/>
            <w:vAlign w:val="bottom"/>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1380" w:type="dxa"/>
            <w:vAlign w:val="bottom"/>
            <w:shd w:val="clear" w:color="auto" w:fill="000000"/>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r>
      <w:tr>
        <w:trPr>
          <w:trHeight w:val="412"/>
        </w:trPr>
        <w:tc>
          <w:tcPr>
            <w:tcW w:w="5620" w:type="dxa"/>
            <w:vAlign w:val="bottom"/>
            <w:gridSpan w:val="5"/>
          </w:tcPr>
          <w:p>
            <w:pPr>
              <w:spacing w:after="0"/>
              <w:rPr>
                <w:sz w:val="20"/>
                <w:szCs w:val="20"/>
                <w:color w:val="auto"/>
              </w:rPr>
            </w:pPr>
            <w:r>
              <w:rPr>
                <w:rFonts w:ascii="Arial" w:cs="Arial" w:eastAsia="Arial" w:hAnsi="Arial"/>
                <w:sz w:val="18"/>
                <w:szCs w:val="18"/>
                <w:color w:val="auto"/>
              </w:rPr>
              <w:t>Name: Yin-Chieh Cheng</w:t>
            </w:r>
          </w:p>
        </w:tc>
        <w:tc>
          <w:tcPr>
            <w:tcW w:w="2080" w:type="dxa"/>
            <w:vAlign w:val="bottom"/>
            <w:gridSpan w:val="2"/>
          </w:tcPr>
          <w:p>
            <w:pPr>
              <w:spacing w:after="0"/>
              <w:rPr>
                <w:sz w:val="20"/>
                <w:szCs w:val="20"/>
                <w:color w:val="auto"/>
              </w:rPr>
            </w:pPr>
            <w:r>
              <w:rPr>
                <w:rFonts w:ascii="Arial" w:cs="Arial" w:eastAsia="Arial" w:hAnsi="Arial"/>
                <w:sz w:val="18"/>
                <w:szCs w:val="18"/>
                <w:color w:val="auto"/>
              </w:rPr>
              <w:t>Name: Shih, Han-Chieh</w:t>
            </w:r>
          </w:p>
        </w:tc>
      </w:tr>
      <w:tr>
        <w:trPr>
          <w:trHeight w:val="20"/>
        </w:trPr>
        <w:tc>
          <w:tcPr>
            <w:tcW w:w="540" w:type="dxa"/>
            <w:vAlign w:val="bottom"/>
            <w:gridSpan w:val="2"/>
          </w:tcPr>
          <w:p>
            <w:pPr>
              <w:spacing w:after="0" w:line="20" w:lineRule="exact"/>
              <w:rPr>
                <w:sz w:val="1"/>
                <w:szCs w:val="1"/>
                <w:color w:val="auto"/>
              </w:rPr>
            </w:pPr>
          </w:p>
        </w:tc>
        <w:tc>
          <w:tcPr>
            <w:tcW w:w="1260" w:type="dxa"/>
            <w:vAlign w:val="bottom"/>
            <w:gridSpan w:val="2"/>
            <w:shd w:val="clear" w:color="auto" w:fill="000000"/>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700" w:type="dxa"/>
            <w:vAlign w:val="bottom"/>
          </w:tcPr>
          <w:p>
            <w:pPr>
              <w:spacing w:after="0" w:line="20" w:lineRule="exact"/>
              <w:rPr>
                <w:sz w:val="1"/>
                <w:szCs w:val="1"/>
                <w:color w:val="auto"/>
              </w:rPr>
            </w:pPr>
          </w:p>
        </w:tc>
      </w:tr>
      <w:tr>
        <w:trPr>
          <w:trHeight w:val="453"/>
        </w:trPr>
        <w:tc>
          <w:tcPr>
            <w:tcW w:w="5620" w:type="dxa"/>
            <w:vAlign w:val="bottom"/>
            <w:gridSpan w:val="5"/>
          </w:tcPr>
          <w:p>
            <w:pPr>
              <w:spacing w:after="0"/>
              <w:rPr>
                <w:sz w:val="20"/>
                <w:szCs w:val="20"/>
                <w:color w:val="auto"/>
              </w:rPr>
            </w:pPr>
            <w:r>
              <w:rPr>
                <w:rFonts w:ascii="Arial" w:cs="Arial" w:eastAsia="Arial" w:hAnsi="Arial"/>
                <w:sz w:val="18"/>
                <w:szCs w:val="18"/>
                <w:color w:val="auto"/>
              </w:rPr>
              <w:t>Title: Chief Executive Officer</w:t>
            </w:r>
          </w:p>
        </w:tc>
        <w:tc>
          <w:tcPr>
            <w:tcW w:w="1380" w:type="dxa"/>
            <w:vAlign w:val="bottom"/>
          </w:tcPr>
          <w:p>
            <w:pPr>
              <w:spacing w:after="0"/>
              <w:rPr>
                <w:sz w:val="24"/>
                <w:szCs w:val="24"/>
                <w:color w:val="auto"/>
              </w:rPr>
            </w:pPr>
          </w:p>
        </w:tc>
        <w:tc>
          <w:tcPr>
            <w:tcW w:w="700" w:type="dxa"/>
            <w:vAlign w:val="bottom"/>
          </w:tcPr>
          <w:p>
            <w:pPr>
              <w:spacing w:after="0"/>
              <w:rPr>
                <w:sz w:val="24"/>
                <w:szCs w:val="24"/>
                <w:color w:val="auto"/>
              </w:rPr>
            </w:pP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Address: 3F., NO. 185, SEC. 1, DATONG RD.,</w:t>
            </w:r>
          </w:p>
        </w:tc>
        <w:tc>
          <w:tcPr>
            <w:tcW w:w="2080" w:type="dxa"/>
            <w:vAlign w:val="bottom"/>
            <w:gridSpan w:val="2"/>
          </w:tcPr>
          <w:p>
            <w:pPr>
              <w:spacing w:after="0"/>
              <w:rPr>
                <w:sz w:val="20"/>
                <w:szCs w:val="20"/>
                <w:color w:val="auto"/>
              </w:rPr>
            </w:pPr>
            <w:r>
              <w:rPr>
                <w:rFonts w:ascii="Arial" w:cs="Arial" w:eastAsia="Arial" w:hAnsi="Arial"/>
                <w:sz w:val="18"/>
                <w:szCs w:val="18"/>
                <w:color w:val="auto"/>
                <w:w w:val="89"/>
              </w:rPr>
              <w:t>Address: 11F., NO. 37, SEC.</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XIZHI DIST., NEW TAIPEI CITY 221,</w:t>
            </w:r>
          </w:p>
        </w:tc>
        <w:tc>
          <w:tcPr>
            <w:tcW w:w="2080" w:type="dxa"/>
            <w:vAlign w:val="bottom"/>
            <w:gridSpan w:val="2"/>
          </w:tcPr>
          <w:p>
            <w:pPr>
              <w:spacing w:after="0"/>
              <w:rPr>
                <w:sz w:val="20"/>
                <w:szCs w:val="20"/>
                <w:color w:val="auto"/>
              </w:rPr>
            </w:pPr>
            <w:r>
              <w:rPr>
                <w:rFonts w:ascii="Arial" w:cs="Arial" w:eastAsia="Arial" w:hAnsi="Arial"/>
                <w:sz w:val="18"/>
                <w:szCs w:val="18"/>
                <w:color w:val="auto"/>
              </w:rPr>
              <w:t>1, KAIFENG ST.,</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TAIWAN (R.O.C.)</w:t>
            </w:r>
          </w:p>
        </w:tc>
        <w:tc>
          <w:tcPr>
            <w:tcW w:w="2080" w:type="dxa"/>
            <w:vAlign w:val="bottom"/>
            <w:gridSpan w:val="2"/>
          </w:tcPr>
          <w:p>
            <w:pPr>
              <w:spacing w:after="0"/>
              <w:rPr>
                <w:sz w:val="20"/>
                <w:szCs w:val="20"/>
                <w:color w:val="auto"/>
              </w:rPr>
            </w:pPr>
            <w:r>
              <w:rPr>
                <w:rFonts w:ascii="Arial" w:cs="Arial" w:eastAsia="Arial" w:hAnsi="Arial"/>
                <w:sz w:val="18"/>
                <w:szCs w:val="18"/>
                <w:color w:val="auto"/>
              </w:rPr>
              <w:t>ZHONGZHENG DIST.,</w:t>
            </w:r>
          </w:p>
        </w:tc>
      </w:tr>
      <w:tr>
        <w:trPr>
          <w:trHeight w:val="432"/>
        </w:trPr>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20" w:type="dxa"/>
            <w:vAlign w:val="bottom"/>
          </w:tcPr>
          <w:p>
            <w:pPr>
              <w:spacing w:after="0"/>
              <w:rPr>
                <w:sz w:val="24"/>
                <w:szCs w:val="24"/>
                <w:color w:val="auto"/>
              </w:rPr>
            </w:pPr>
          </w:p>
        </w:tc>
        <w:tc>
          <w:tcPr>
            <w:tcW w:w="2080" w:type="dxa"/>
            <w:vAlign w:val="bottom"/>
            <w:gridSpan w:val="2"/>
          </w:tcPr>
          <w:p>
            <w:pPr>
              <w:spacing w:after="0"/>
              <w:rPr>
                <w:sz w:val="20"/>
                <w:szCs w:val="20"/>
                <w:color w:val="auto"/>
              </w:rPr>
            </w:pPr>
            <w:r>
              <w:rPr>
                <w:rFonts w:ascii="Arial" w:cs="Arial" w:eastAsia="Arial" w:hAnsi="Arial"/>
                <w:sz w:val="18"/>
                <w:szCs w:val="18"/>
                <w:color w:val="auto"/>
              </w:rPr>
              <w:t>TAIPEI CITY 10044,</w:t>
            </w:r>
          </w:p>
        </w:tc>
      </w:tr>
      <w:tr>
        <w:trPr>
          <w:trHeight w:val="432"/>
        </w:trPr>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20" w:type="dxa"/>
            <w:vAlign w:val="bottom"/>
          </w:tcPr>
          <w:p>
            <w:pPr>
              <w:spacing w:after="0"/>
              <w:rPr>
                <w:sz w:val="24"/>
                <w:szCs w:val="24"/>
                <w:color w:val="auto"/>
              </w:rPr>
            </w:pPr>
          </w:p>
        </w:tc>
        <w:tc>
          <w:tcPr>
            <w:tcW w:w="2080" w:type="dxa"/>
            <w:vAlign w:val="bottom"/>
            <w:gridSpan w:val="2"/>
          </w:tcPr>
          <w:p>
            <w:pPr>
              <w:spacing w:after="0"/>
              <w:rPr>
                <w:sz w:val="20"/>
                <w:szCs w:val="20"/>
                <w:color w:val="auto"/>
              </w:rPr>
            </w:pPr>
            <w:r>
              <w:rPr>
                <w:rFonts w:ascii="Arial" w:cs="Arial" w:eastAsia="Arial" w:hAnsi="Arial"/>
                <w:sz w:val="18"/>
                <w:szCs w:val="18"/>
                <w:color w:val="auto"/>
              </w:rPr>
              <w:t>TAIWAN (R.O.C.)</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80"/>
          </w:cols>
          <w:pgMar w:left="320" w:top="796" w:right="399" w:bottom="1440" w:gutter="0" w:footer="0" w:header="0"/>
        </w:sectPr>
      </w:pPr>
    </w:p>
    <w:bookmarkStart w:id="5" w:name="page6"/>
    <w:bookmarkEnd w:id="5"/>
    <w:p>
      <w:pPr>
        <w:jc w:val="right"/>
        <w:spacing w:after="0"/>
        <w:rPr>
          <w:sz w:val="20"/>
          <w:szCs w:val="20"/>
          <w:color w:val="auto"/>
        </w:rPr>
      </w:pPr>
      <w:r>
        <w:rPr>
          <w:rFonts w:ascii="Arial" w:cs="Arial" w:eastAsia="Arial" w:hAnsi="Arial"/>
          <w:sz w:val="22"/>
          <w:szCs w:val="22"/>
          <w:b w:val="1"/>
          <w:bCs w:val="1"/>
          <w:color w:val="auto"/>
        </w:rPr>
        <w:t>Exhibit 10.2</w:t>
      </w:r>
    </w:p>
    <w:p>
      <w:pPr>
        <w:spacing w:after="0" w:line="200" w:lineRule="exact"/>
        <w:rPr>
          <w:sz w:val="20"/>
          <w:szCs w:val="20"/>
          <w:color w:val="auto"/>
        </w:rPr>
      </w:pPr>
    </w:p>
    <w:p>
      <w:pPr>
        <w:spacing w:after="0" w:line="25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FARMERS VENDING CO. LTD. PURCHASE AGREEMENT</w:t>
      </w:r>
    </w:p>
    <w:p>
      <w:pPr>
        <w:spacing w:after="0" w:line="229" w:lineRule="exact"/>
        <w:rPr>
          <w:sz w:val="20"/>
          <w:szCs w:val="20"/>
          <w:color w:val="auto"/>
        </w:rPr>
      </w:pPr>
    </w:p>
    <w:p>
      <w:pPr>
        <w:ind w:right="520"/>
        <w:spacing w:after="0" w:line="277" w:lineRule="auto"/>
        <w:rPr>
          <w:sz w:val="20"/>
          <w:szCs w:val="20"/>
          <w:color w:val="auto"/>
        </w:rPr>
      </w:pPr>
      <w:r>
        <w:rPr>
          <w:rFonts w:ascii="Arial" w:cs="Arial" w:eastAsia="Arial" w:hAnsi="Arial"/>
          <w:sz w:val="18"/>
          <w:szCs w:val="18"/>
          <w:color w:val="auto"/>
        </w:rPr>
        <w:t>This Purchase Agreement, dated September 26, 2022, is made between Yin-Chieh Cheng of Nocera, Inc. (“Seller”) and Chun-Chih Cheng of Farmer Vending Machine Co. Ltd. (“Purchaser”)</w:t>
      </w:r>
    </w:p>
    <w:p>
      <w:pPr>
        <w:spacing w:after="0" w:line="170" w:lineRule="exact"/>
        <w:rPr>
          <w:sz w:val="20"/>
          <w:szCs w:val="20"/>
          <w:color w:val="auto"/>
        </w:rPr>
      </w:pPr>
    </w:p>
    <w:p>
      <w:pPr>
        <w:ind w:right="160"/>
        <w:spacing w:after="0" w:line="277" w:lineRule="auto"/>
        <w:rPr>
          <w:sz w:val="20"/>
          <w:szCs w:val="20"/>
          <w:color w:val="auto"/>
        </w:rPr>
      </w:pPr>
      <w:r>
        <w:rPr>
          <w:rFonts w:ascii="Arial" w:cs="Arial" w:eastAsia="Arial" w:hAnsi="Arial"/>
          <w:sz w:val="18"/>
          <w:szCs w:val="18"/>
          <w:color w:val="auto"/>
        </w:rPr>
        <w:t>In consideration of the mutual promises and covenants in this Agreement, the Purchaser agrees to the Purchase of $1 million dollar of Seafood, Fruits and Vegetables to sell through its Vending Machine location and Fruit Outlets.</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color w:val="auto"/>
        </w:rPr>
        <w:t>Terms and Conditions as set forth below.</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Purchase</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The Purchaser shall purchase $1 million of Seafood, Fruits and Vegetables from Seller every month.</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Terms And Conditions</w:t>
      </w:r>
    </w:p>
    <w:p>
      <w:pPr>
        <w:spacing w:after="0" w:line="225" w:lineRule="exact"/>
        <w:rPr>
          <w:sz w:val="20"/>
          <w:szCs w:val="20"/>
          <w:color w:val="auto"/>
        </w:rPr>
      </w:pPr>
    </w:p>
    <w:p>
      <w:pPr>
        <w:ind w:left="440" w:hanging="432"/>
        <w:spacing w:after="0"/>
        <w:tabs>
          <w:tab w:leader="none" w:pos="440" w:val="left"/>
        </w:tabs>
        <w:numPr>
          <w:ilvl w:val="0"/>
          <w:numId w:val="9"/>
        </w:numPr>
        <w:rPr>
          <w:rFonts w:ascii="Arial" w:cs="Arial" w:eastAsia="Arial" w:hAnsi="Arial"/>
          <w:sz w:val="18"/>
          <w:szCs w:val="18"/>
          <w:b w:val="1"/>
          <w:bCs w:val="1"/>
          <w:color w:val="auto"/>
        </w:rPr>
      </w:pPr>
      <w:r>
        <w:rPr>
          <w:rFonts w:ascii="Arial" w:cs="Arial" w:eastAsia="Arial" w:hAnsi="Arial"/>
          <w:sz w:val="18"/>
          <w:szCs w:val="18"/>
          <w:b w:val="1"/>
          <w:bCs w:val="1"/>
          <w:color w:val="auto"/>
        </w:rPr>
        <w:t>Purchase Price</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The purchase price is based on the prevailing market price with 30% discount.</w:t>
      </w:r>
    </w:p>
    <w:p>
      <w:pPr>
        <w:spacing w:after="0" w:line="221" w:lineRule="exact"/>
        <w:rPr>
          <w:sz w:val="20"/>
          <w:szCs w:val="20"/>
          <w:color w:val="auto"/>
        </w:rPr>
      </w:pPr>
    </w:p>
    <w:p>
      <w:pPr>
        <w:ind w:left="440" w:hanging="432"/>
        <w:spacing w:after="0"/>
        <w:tabs>
          <w:tab w:leader="none" w:pos="440" w:val="left"/>
        </w:tabs>
        <w:numPr>
          <w:ilvl w:val="0"/>
          <w:numId w:val="10"/>
        </w:numPr>
        <w:rPr>
          <w:rFonts w:ascii="Arial" w:cs="Arial" w:eastAsia="Arial" w:hAnsi="Arial"/>
          <w:sz w:val="18"/>
          <w:szCs w:val="18"/>
          <w:b w:val="1"/>
          <w:bCs w:val="1"/>
          <w:color w:val="auto"/>
        </w:rPr>
      </w:pPr>
      <w:r>
        <w:rPr>
          <w:rFonts w:ascii="Arial" w:cs="Arial" w:eastAsia="Arial" w:hAnsi="Arial"/>
          <w:sz w:val="18"/>
          <w:szCs w:val="18"/>
          <w:b w:val="1"/>
          <w:bCs w:val="1"/>
          <w:color w:val="auto"/>
        </w:rPr>
        <w:t>Payment</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Payment shall be made upon receipt of the product.</w:t>
      </w:r>
    </w:p>
    <w:p>
      <w:pPr>
        <w:spacing w:after="0" w:line="221" w:lineRule="exact"/>
        <w:rPr>
          <w:sz w:val="20"/>
          <w:szCs w:val="20"/>
          <w:color w:val="auto"/>
        </w:rPr>
      </w:pPr>
    </w:p>
    <w:p>
      <w:pPr>
        <w:ind w:left="440" w:hanging="432"/>
        <w:spacing w:after="0"/>
        <w:tabs>
          <w:tab w:leader="none" w:pos="440" w:val="left"/>
        </w:tabs>
        <w:numPr>
          <w:ilvl w:val="0"/>
          <w:numId w:val="11"/>
        </w:numPr>
        <w:rPr>
          <w:rFonts w:ascii="Arial" w:cs="Arial" w:eastAsia="Arial" w:hAnsi="Arial"/>
          <w:sz w:val="18"/>
          <w:szCs w:val="18"/>
          <w:b w:val="1"/>
          <w:bCs w:val="1"/>
          <w:color w:val="auto"/>
        </w:rPr>
      </w:pPr>
      <w:r>
        <w:rPr>
          <w:rFonts w:ascii="Arial" w:cs="Arial" w:eastAsia="Arial" w:hAnsi="Arial"/>
          <w:sz w:val="18"/>
          <w:szCs w:val="18"/>
          <w:b w:val="1"/>
          <w:bCs w:val="1"/>
          <w:color w:val="auto"/>
        </w:rPr>
        <w:t>Effective Date</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The Effective Date of this Agreement shall be October 1, 2022 for a period 1 year.</w:t>
      </w:r>
    </w:p>
    <w:p>
      <w:pPr>
        <w:spacing w:after="0" w:line="221" w:lineRule="exact"/>
        <w:rPr>
          <w:sz w:val="20"/>
          <w:szCs w:val="20"/>
          <w:color w:val="auto"/>
        </w:rPr>
      </w:pPr>
    </w:p>
    <w:p>
      <w:pPr>
        <w:ind w:left="440" w:hanging="432"/>
        <w:spacing w:after="0"/>
        <w:tabs>
          <w:tab w:leader="none" w:pos="440" w:val="left"/>
        </w:tabs>
        <w:numPr>
          <w:ilvl w:val="0"/>
          <w:numId w:val="12"/>
        </w:numPr>
        <w:rPr>
          <w:rFonts w:ascii="Arial" w:cs="Arial" w:eastAsia="Arial" w:hAnsi="Arial"/>
          <w:sz w:val="18"/>
          <w:szCs w:val="18"/>
          <w:b w:val="1"/>
          <w:bCs w:val="1"/>
          <w:color w:val="auto"/>
        </w:rPr>
      </w:pPr>
      <w:r>
        <w:rPr>
          <w:rFonts w:ascii="Arial" w:cs="Arial" w:eastAsia="Arial" w:hAnsi="Arial"/>
          <w:sz w:val="18"/>
          <w:szCs w:val="18"/>
          <w:b w:val="1"/>
          <w:bCs w:val="1"/>
          <w:color w:val="auto"/>
        </w:rPr>
        <w:t>Delivery</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The Seller shall be responsible for all delivery of good to purchaser locations and seller should bear all the cost of delivery.</w:t>
      </w:r>
    </w:p>
    <w:p>
      <w:pPr>
        <w:spacing w:after="0" w:line="221" w:lineRule="exact"/>
        <w:rPr>
          <w:sz w:val="20"/>
          <w:szCs w:val="20"/>
          <w:color w:val="auto"/>
        </w:rPr>
      </w:pPr>
    </w:p>
    <w:p>
      <w:pPr>
        <w:ind w:left="440" w:hanging="432"/>
        <w:spacing w:after="0"/>
        <w:tabs>
          <w:tab w:leader="none" w:pos="440" w:val="left"/>
        </w:tabs>
        <w:numPr>
          <w:ilvl w:val="0"/>
          <w:numId w:val="13"/>
        </w:numPr>
        <w:rPr>
          <w:rFonts w:ascii="Arial" w:cs="Arial" w:eastAsia="Arial" w:hAnsi="Arial"/>
          <w:sz w:val="18"/>
          <w:szCs w:val="18"/>
          <w:b w:val="1"/>
          <w:bCs w:val="1"/>
          <w:color w:val="auto"/>
        </w:rPr>
      </w:pPr>
      <w:r>
        <w:rPr>
          <w:rFonts w:ascii="Arial" w:cs="Arial" w:eastAsia="Arial" w:hAnsi="Arial"/>
          <w:sz w:val="18"/>
          <w:szCs w:val="18"/>
          <w:b w:val="1"/>
          <w:bCs w:val="1"/>
          <w:color w:val="auto"/>
        </w:rPr>
        <w:t>Warranty of the Seller</w:t>
      </w:r>
    </w:p>
    <w:p>
      <w:pPr>
        <w:spacing w:after="0" w:line="229" w:lineRule="exact"/>
        <w:rPr>
          <w:sz w:val="20"/>
          <w:szCs w:val="20"/>
          <w:color w:val="auto"/>
        </w:rPr>
      </w:pPr>
    </w:p>
    <w:p>
      <w:pPr>
        <w:ind w:right="140"/>
        <w:spacing w:after="0" w:line="308" w:lineRule="auto"/>
        <w:rPr>
          <w:sz w:val="20"/>
          <w:szCs w:val="20"/>
          <w:color w:val="auto"/>
        </w:rPr>
      </w:pPr>
      <w:r>
        <w:rPr>
          <w:rFonts w:ascii="Arial" w:cs="Arial" w:eastAsia="Arial" w:hAnsi="Arial"/>
          <w:sz w:val="17"/>
          <w:szCs w:val="17"/>
          <w:color w:val="auto"/>
        </w:rPr>
        <w:t>The Seller warrants that the consummation of this Agreement does not violate any terms or provision of the bylaws of the company or any contract or any commitment. Moreover, the Seller warrants that there are no actions, proceedings or investigation pending against the Seller.</w:t>
      </w:r>
    </w:p>
    <w:p>
      <w:pPr>
        <w:spacing w:after="0" w:line="200" w:lineRule="exact"/>
        <w:rPr>
          <w:sz w:val="20"/>
          <w:szCs w:val="20"/>
          <w:color w:val="auto"/>
        </w:rPr>
      </w:pP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11" w:right="339" w:bottom="1440" w:gutter="0" w:footer="0" w:header="0"/>
        </w:sectPr>
      </w:pPr>
    </w:p>
    <w:bookmarkStart w:id="6" w:name="page7"/>
    <w:bookmarkEnd w:id="6"/>
    <w:p>
      <w:pPr>
        <w:ind w:left="440" w:hanging="432"/>
        <w:spacing w:after="0"/>
        <w:tabs>
          <w:tab w:leader="none" w:pos="440" w:val="left"/>
        </w:tabs>
        <w:numPr>
          <w:ilvl w:val="0"/>
          <w:numId w:val="14"/>
        </w:numPr>
        <w:rPr>
          <w:rFonts w:ascii="Arial" w:cs="Arial" w:eastAsia="Arial" w:hAnsi="Arial"/>
          <w:sz w:val="18"/>
          <w:szCs w:val="18"/>
          <w:b w:val="1"/>
          <w:bCs w:val="1"/>
          <w:color w:val="auto"/>
        </w:rPr>
      </w:pPr>
      <w:r>
        <w:rPr>
          <w:rFonts w:ascii="Arial" w:cs="Arial" w:eastAsia="Arial" w:hAnsi="Arial"/>
          <w:sz w:val="18"/>
          <w:szCs w:val="18"/>
          <w:b w:val="1"/>
          <w:bCs w:val="1"/>
          <w:color w:val="auto"/>
        </w:rPr>
        <w:t>Warranty of the Purchaser</w:t>
      </w:r>
    </w:p>
    <w:p>
      <w:pPr>
        <w:spacing w:after="0" w:line="229" w:lineRule="exact"/>
        <w:rPr>
          <w:sz w:val="20"/>
          <w:szCs w:val="20"/>
          <w:color w:val="auto"/>
        </w:rPr>
      </w:pPr>
    </w:p>
    <w:p>
      <w:pPr>
        <w:spacing w:after="0" w:line="277" w:lineRule="auto"/>
        <w:rPr>
          <w:sz w:val="20"/>
          <w:szCs w:val="20"/>
          <w:color w:val="auto"/>
        </w:rPr>
      </w:pPr>
      <w:r>
        <w:rPr>
          <w:rFonts w:ascii="Arial" w:cs="Arial" w:eastAsia="Arial" w:hAnsi="Arial"/>
          <w:sz w:val="18"/>
          <w:szCs w:val="18"/>
          <w:color w:val="auto"/>
        </w:rPr>
        <w:t>The Purchaser understands the risks of purchase food products. The Purchaser has enough knowledge and experience in food commodity industry, making the Purchaser capable of evaluating the merits and risks associated with this Agreement.</w:t>
      </w:r>
    </w:p>
    <w:p>
      <w:pPr>
        <w:spacing w:after="0" w:line="166" w:lineRule="exact"/>
        <w:rPr>
          <w:sz w:val="20"/>
          <w:szCs w:val="20"/>
          <w:color w:val="auto"/>
        </w:rPr>
      </w:pPr>
    </w:p>
    <w:p>
      <w:pPr>
        <w:ind w:left="440" w:hanging="432"/>
        <w:spacing w:after="0"/>
        <w:tabs>
          <w:tab w:leader="none" w:pos="440" w:val="left"/>
        </w:tabs>
        <w:numPr>
          <w:ilvl w:val="0"/>
          <w:numId w:val="15"/>
        </w:numPr>
        <w:rPr>
          <w:rFonts w:ascii="Arial" w:cs="Arial" w:eastAsia="Arial" w:hAnsi="Arial"/>
          <w:sz w:val="18"/>
          <w:szCs w:val="18"/>
          <w:b w:val="1"/>
          <w:bCs w:val="1"/>
          <w:color w:val="auto"/>
        </w:rPr>
      </w:pPr>
      <w:r>
        <w:rPr>
          <w:rFonts w:ascii="Arial" w:cs="Arial" w:eastAsia="Arial" w:hAnsi="Arial"/>
          <w:sz w:val="18"/>
          <w:szCs w:val="18"/>
          <w:b w:val="1"/>
          <w:bCs w:val="1"/>
          <w:color w:val="auto"/>
        </w:rPr>
        <w:t>Governing Law</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This agreement shall be governed by the civil law and the Company law of Taiwan.</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5620" w:type="dxa"/>
            <w:vAlign w:val="bottom"/>
            <w:gridSpan w:val="5"/>
          </w:tcPr>
          <w:p>
            <w:pPr>
              <w:spacing w:after="0"/>
              <w:rPr>
                <w:sz w:val="20"/>
                <w:szCs w:val="20"/>
                <w:color w:val="auto"/>
              </w:rPr>
            </w:pPr>
            <w:r>
              <w:rPr>
                <w:rFonts w:ascii="Arial" w:cs="Arial" w:eastAsia="Arial" w:hAnsi="Arial"/>
                <w:sz w:val="18"/>
                <w:szCs w:val="18"/>
                <w:color w:val="auto"/>
              </w:rPr>
              <w:t>Purchaser</w:t>
            </w:r>
          </w:p>
        </w:tc>
        <w:tc>
          <w:tcPr>
            <w:tcW w:w="3100" w:type="dxa"/>
            <w:vAlign w:val="bottom"/>
            <w:gridSpan w:val="2"/>
          </w:tcPr>
          <w:p>
            <w:pPr>
              <w:spacing w:after="0"/>
              <w:rPr>
                <w:sz w:val="20"/>
                <w:szCs w:val="20"/>
                <w:color w:val="auto"/>
              </w:rPr>
            </w:pPr>
            <w:r>
              <w:rPr>
                <w:rFonts w:ascii="Arial" w:cs="Arial" w:eastAsia="Arial" w:hAnsi="Arial"/>
                <w:sz w:val="18"/>
                <w:szCs w:val="18"/>
                <w:color w:val="auto"/>
              </w:rPr>
              <w:t>Seller</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b w:val="1"/>
                <w:bCs w:val="1"/>
                <w:color w:val="auto"/>
              </w:rPr>
              <w:t>Nocera, Inc</w:t>
            </w:r>
          </w:p>
        </w:tc>
        <w:tc>
          <w:tcPr>
            <w:tcW w:w="3100" w:type="dxa"/>
            <w:vAlign w:val="bottom"/>
            <w:gridSpan w:val="2"/>
          </w:tcPr>
          <w:p>
            <w:pPr>
              <w:spacing w:after="0"/>
              <w:rPr>
                <w:sz w:val="20"/>
                <w:szCs w:val="20"/>
                <w:color w:val="auto"/>
              </w:rPr>
            </w:pPr>
            <w:r>
              <w:rPr>
                <w:rFonts w:ascii="Arial" w:cs="Arial" w:eastAsia="Arial" w:hAnsi="Arial"/>
                <w:sz w:val="18"/>
                <w:szCs w:val="18"/>
                <w:b w:val="1"/>
                <w:bCs w:val="1"/>
                <w:color w:val="auto"/>
              </w:rPr>
              <w:t>Farmers Vending Machine Co. Ltd</w:t>
            </w:r>
          </w:p>
        </w:tc>
      </w:tr>
      <w:tr>
        <w:trPr>
          <w:trHeight w:val="391"/>
        </w:trPr>
        <w:tc>
          <w:tcPr>
            <w:tcW w:w="5620" w:type="dxa"/>
            <w:vAlign w:val="bottom"/>
            <w:gridSpan w:val="5"/>
          </w:tcPr>
          <w:p>
            <w:pPr>
              <w:spacing w:after="0"/>
              <w:rPr>
                <w:sz w:val="20"/>
                <w:szCs w:val="20"/>
                <w:color w:val="auto"/>
              </w:rPr>
            </w:pPr>
            <w:r>
              <w:rPr>
                <w:rFonts w:ascii="Arial" w:cs="Arial" w:eastAsia="Arial" w:hAnsi="Arial"/>
                <w:sz w:val="18"/>
                <w:szCs w:val="18"/>
                <w:i w:val="1"/>
                <w:iCs w:val="1"/>
                <w:color w:val="auto"/>
              </w:rPr>
              <w:t>/s/ Yin-Chieh Cheng</w:t>
            </w:r>
          </w:p>
        </w:tc>
        <w:tc>
          <w:tcPr>
            <w:tcW w:w="3100" w:type="dxa"/>
            <w:vAlign w:val="bottom"/>
            <w:gridSpan w:val="2"/>
          </w:tcPr>
          <w:p>
            <w:pPr>
              <w:spacing w:after="0"/>
              <w:rPr>
                <w:sz w:val="20"/>
                <w:szCs w:val="20"/>
                <w:color w:val="auto"/>
              </w:rPr>
            </w:pPr>
            <w:r>
              <w:rPr>
                <w:rFonts w:ascii="Arial" w:cs="Arial" w:eastAsia="Arial" w:hAnsi="Arial"/>
                <w:sz w:val="18"/>
                <w:szCs w:val="18"/>
                <w:i w:val="1"/>
                <w:iCs w:val="1"/>
                <w:color w:val="auto"/>
              </w:rPr>
              <w:t>/s/ Chun-Chih Cheng</w:t>
            </w:r>
          </w:p>
        </w:tc>
      </w:tr>
      <w:tr>
        <w:trPr>
          <w:trHeight w:val="20"/>
        </w:trPr>
        <w:tc>
          <w:tcPr>
            <w:tcW w:w="220" w:type="dxa"/>
            <w:vAlign w:val="bottom"/>
          </w:tcPr>
          <w:p>
            <w:pPr>
              <w:spacing w:after="0" w:line="20" w:lineRule="exact"/>
              <w:rPr>
                <w:sz w:val="1"/>
                <w:szCs w:val="1"/>
                <w:color w:val="auto"/>
              </w:rPr>
            </w:pPr>
          </w:p>
        </w:tc>
        <w:tc>
          <w:tcPr>
            <w:tcW w:w="320" w:type="dxa"/>
            <w:vAlign w:val="bottom"/>
            <w:shd w:val="clear" w:color="auto" w:fill="000000"/>
          </w:tcPr>
          <w:p>
            <w:pPr>
              <w:spacing w:after="0" w:line="20" w:lineRule="exact"/>
              <w:rPr>
                <w:sz w:val="1"/>
                <w:szCs w:val="1"/>
                <w:color w:val="auto"/>
              </w:rPr>
            </w:pPr>
          </w:p>
        </w:tc>
        <w:tc>
          <w:tcPr>
            <w:tcW w:w="920" w:type="dxa"/>
            <w:vAlign w:val="bottom"/>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1540" w:type="dxa"/>
            <w:vAlign w:val="bottom"/>
            <w:shd w:val="clear" w:color="auto" w:fill="000000"/>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r>
      <w:tr>
        <w:trPr>
          <w:trHeight w:val="412"/>
        </w:trPr>
        <w:tc>
          <w:tcPr>
            <w:tcW w:w="5620" w:type="dxa"/>
            <w:vAlign w:val="bottom"/>
            <w:gridSpan w:val="5"/>
          </w:tcPr>
          <w:p>
            <w:pPr>
              <w:spacing w:after="0"/>
              <w:rPr>
                <w:sz w:val="20"/>
                <w:szCs w:val="20"/>
                <w:color w:val="auto"/>
              </w:rPr>
            </w:pPr>
            <w:r>
              <w:rPr>
                <w:rFonts w:ascii="Arial" w:cs="Arial" w:eastAsia="Arial" w:hAnsi="Arial"/>
                <w:sz w:val="18"/>
                <w:szCs w:val="18"/>
                <w:color w:val="auto"/>
              </w:rPr>
              <w:t>Name: Yin-Chieh Cheng</w:t>
            </w:r>
          </w:p>
        </w:tc>
        <w:tc>
          <w:tcPr>
            <w:tcW w:w="3100" w:type="dxa"/>
            <w:vAlign w:val="bottom"/>
            <w:gridSpan w:val="2"/>
          </w:tcPr>
          <w:p>
            <w:pPr>
              <w:spacing w:after="0"/>
              <w:rPr>
                <w:sz w:val="20"/>
                <w:szCs w:val="20"/>
                <w:color w:val="auto"/>
              </w:rPr>
            </w:pPr>
            <w:r>
              <w:rPr>
                <w:rFonts w:ascii="Arial" w:cs="Arial" w:eastAsia="Arial" w:hAnsi="Arial"/>
                <w:sz w:val="18"/>
                <w:szCs w:val="18"/>
                <w:color w:val="auto"/>
              </w:rPr>
              <w:t>Name: Chun-Chih Cheng</w:t>
            </w:r>
          </w:p>
        </w:tc>
      </w:tr>
      <w:tr>
        <w:trPr>
          <w:trHeight w:val="20"/>
        </w:trPr>
        <w:tc>
          <w:tcPr>
            <w:tcW w:w="540" w:type="dxa"/>
            <w:vAlign w:val="bottom"/>
            <w:gridSpan w:val="2"/>
          </w:tcPr>
          <w:p>
            <w:pPr>
              <w:spacing w:after="0" w:line="20" w:lineRule="exact"/>
              <w:rPr>
                <w:sz w:val="1"/>
                <w:szCs w:val="1"/>
                <w:color w:val="auto"/>
              </w:rPr>
            </w:pPr>
          </w:p>
        </w:tc>
        <w:tc>
          <w:tcPr>
            <w:tcW w:w="1260" w:type="dxa"/>
            <w:vAlign w:val="bottom"/>
            <w:gridSpan w:val="2"/>
            <w:shd w:val="clear" w:color="auto" w:fill="000000"/>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1540" w:type="dxa"/>
            <w:vAlign w:val="bottom"/>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r>
      <w:tr>
        <w:trPr>
          <w:trHeight w:val="453"/>
        </w:trPr>
        <w:tc>
          <w:tcPr>
            <w:tcW w:w="5620" w:type="dxa"/>
            <w:vAlign w:val="bottom"/>
            <w:gridSpan w:val="5"/>
          </w:tcPr>
          <w:p>
            <w:pPr>
              <w:spacing w:after="0"/>
              <w:rPr>
                <w:sz w:val="20"/>
                <w:szCs w:val="20"/>
                <w:color w:val="auto"/>
              </w:rPr>
            </w:pPr>
            <w:r>
              <w:rPr>
                <w:rFonts w:ascii="Arial" w:cs="Arial" w:eastAsia="Arial" w:hAnsi="Arial"/>
                <w:sz w:val="18"/>
                <w:szCs w:val="18"/>
                <w:color w:val="auto"/>
              </w:rPr>
              <w:t>Title: Chief Executive Officer</w:t>
            </w:r>
          </w:p>
        </w:tc>
        <w:tc>
          <w:tcPr>
            <w:tcW w:w="1540" w:type="dxa"/>
            <w:vAlign w:val="bottom"/>
          </w:tcPr>
          <w:p>
            <w:pPr>
              <w:spacing w:after="0"/>
              <w:rPr>
                <w:sz w:val="24"/>
                <w:szCs w:val="24"/>
                <w:color w:val="auto"/>
              </w:rPr>
            </w:pPr>
          </w:p>
        </w:tc>
        <w:tc>
          <w:tcPr>
            <w:tcW w:w="1560" w:type="dxa"/>
            <w:vAlign w:val="bottom"/>
          </w:tcPr>
          <w:p>
            <w:pPr>
              <w:spacing w:after="0"/>
              <w:rPr>
                <w:sz w:val="24"/>
                <w:szCs w:val="24"/>
                <w:color w:val="auto"/>
              </w:rPr>
            </w:pP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Address: 3F., NO. 185, SEC. 1, DATONG RD.,</w:t>
            </w:r>
          </w:p>
        </w:tc>
        <w:tc>
          <w:tcPr>
            <w:tcW w:w="3100" w:type="dxa"/>
            <w:vAlign w:val="bottom"/>
            <w:gridSpan w:val="2"/>
          </w:tcPr>
          <w:p>
            <w:pPr>
              <w:spacing w:after="0"/>
              <w:rPr>
                <w:sz w:val="20"/>
                <w:szCs w:val="20"/>
                <w:color w:val="auto"/>
              </w:rPr>
            </w:pPr>
            <w:r>
              <w:rPr>
                <w:rFonts w:ascii="Arial" w:cs="Arial" w:eastAsia="Arial" w:hAnsi="Arial"/>
                <w:sz w:val="18"/>
                <w:szCs w:val="18"/>
                <w:color w:val="auto"/>
                <w:w w:val="91"/>
              </w:rPr>
              <w:t>Address: 3 F., No. 17, Ln. 236, Xizhi Dist.,</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XIZHI DIST., NEW TAIPEI CITY 221,</w:t>
            </w:r>
          </w:p>
        </w:tc>
        <w:tc>
          <w:tcPr>
            <w:tcW w:w="3100" w:type="dxa"/>
            <w:vAlign w:val="bottom"/>
            <w:gridSpan w:val="2"/>
          </w:tcPr>
          <w:p>
            <w:pPr>
              <w:spacing w:after="0"/>
              <w:rPr>
                <w:sz w:val="20"/>
                <w:szCs w:val="20"/>
                <w:color w:val="auto"/>
              </w:rPr>
            </w:pPr>
            <w:r>
              <w:rPr>
                <w:rFonts w:ascii="Arial" w:cs="Arial" w:eastAsia="Arial" w:hAnsi="Arial"/>
                <w:sz w:val="18"/>
                <w:szCs w:val="18"/>
                <w:color w:val="auto"/>
              </w:rPr>
              <w:t>Sec. 1, Dunhua S. Rd., Da’an</w:t>
            </w:r>
          </w:p>
        </w:tc>
      </w:tr>
      <w:tr>
        <w:trPr>
          <w:trHeight w:val="432"/>
        </w:trPr>
        <w:tc>
          <w:tcPr>
            <w:tcW w:w="5620" w:type="dxa"/>
            <w:vAlign w:val="bottom"/>
            <w:gridSpan w:val="5"/>
          </w:tcPr>
          <w:p>
            <w:pPr>
              <w:spacing w:after="0"/>
              <w:rPr>
                <w:sz w:val="20"/>
                <w:szCs w:val="20"/>
                <w:color w:val="auto"/>
              </w:rPr>
            </w:pPr>
            <w:r>
              <w:rPr>
                <w:rFonts w:ascii="Arial" w:cs="Arial" w:eastAsia="Arial" w:hAnsi="Arial"/>
                <w:sz w:val="18"/>
                <w:szCs w:val="18"/>
                <w:color w:val="auto"/>
              </w:rPr>
              <w:t>TAIWAN (R.O.C.)</w:t>
            </w:r>
          </w:p>
        </w:tc>
        <w:tc>
          <w:tcPr>
            <w:tcW w:w="3100" w:type="dxa"/>
            <w:vAlign w:val="bottom"/>
            <w:gridSpan w:val="2"/>
          </w:tcPr>
          <w:p>
            <w:pPr>
              <w:spacing w:after="0"/>
              <w:rPr>
                <w:sz w:val="20"/>
                <w:szCs w:val="20"/>
                <w:color w:val="auto"/>
              </w:rPr>
            </w:pPr>
            <w:r>
              <w:rPr>
                <w:rFonts w:ascii="Arial" w:cs="Arial" w:eastAsia="Arial" w:hAnsi="Arial"/>
                <w:sz w:val="18"/>
                <w:szCs w:val="18"/>
                <w:color w:val="auto"/>
              </w:rPr>
              <w:t>Dist., Taipei City 106,</w:t>
            </w:r>
          </w:p>
        </w:tc>
      </w:tr>
      <w:tr>
        <w:trPr>
          <w:trHeight w:val="432"/>
        </w:trPr>
        <w:tc>
          <w:tcPr>
            <w:tcW w:w="2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820" w:type="dxa"/>
            <w:vAlign w:val="bottom"/>
          </w:tcPr>
          <w:p>
            <w:pPr>
              <w:spacing w:after="0"/>
              <w:rPr>
                <w:sz w:val="24"/>
                <w:szCs w:val="24"/>
                <w:color w:val="auto"/>
              </w:rPr>
            </w:pPr>
          </w:p>
        </w:tc>
        <w:tc>
          <w:tcPr>
            <w:tcW w:w="3100" w:type="dxa"/>
            <w:vAlign w:val="bottom"/>
            <w:gridSpan w:val="2"/>
          </w:tcPr>
          <w:p>
            <w:pPr>
              <w:spacing w:after="0"/>
              <w:rPr>
                <w:sz w:val="20"/>
                <w:szCs w:val="20"/>
                <w:color w:val="auto"/>
              </w:rPr>
            </w:pPr>
            <w:r>
              <w:rPr>
                <w:rFonts w:ascii="Arial" w:cs="Arial" w:eastAsia="Arial" w:hAnsi="Arial"/>
                <w:sz w:val="18"/>
                <w:szCs w:val="18"/>
                <w:color w:val="auto"/>
              </w:rPr>
              <w:t>TAIWAN (R.O.C.)</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1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40"/>
          </w:cols>
          <w:pgMar w:left="320" w:top="796" w:right="439" w:bottom="1440" w:gutter="0" w:footer="0" w:header="0"/>
        </w:sectPr>
      </w:pPr>
    </w:p>
    <w:bookmarkStart w:id="7" w:name="page8"/>
    <w:bookmarkEnd w:id="7"/>
    <w:p>
      <w:pPr>
        <w:ind w:left="10120"/>
        <w:spacing w:after="0"/>
        <w:rPr>
          <w:sz w:val="20"/>
          <w:szCs w:val="20"/>
          <w:color w:val="auto"/>
        </w:rPr>
      </w:pPr>
      <w:r>
        <w:rPr>
          <w:rFonts w:ascii="Arial" w:cs="Arial" w:eastAsia="Arial" w:hAnsi="Arial"/>
          <w:sz w:val="19"/>
          <w:szCs w:val="19"/>
          <w:b w:val="1"/>
          <w:bCs w:val="1"/>
          <w:color w:val="auto"/>
        </w:rPr>
        <w:t>Exhibit 99.1</w:t>
      </w:r>
    </w:p>
    <w:p>
      <w:pPr>
        <w:spacing w:after="0" w:line="273" w:lineRule="exact"/>
        <w:rPr>
          <w:sz w:val="20"/>
          <w:szCs w:val="20"/>
          <w:color w:val="auto"/>
        </w:rPr>
      </w:pPr>
    </w:p>
    <w:p>
      <w:pPr>
        <w:ind w:left="720"/>
        <w:spacing w:after="0"/>
        <w:rPr>
          <w:sz w:val="20"/>
          <w:szCs w:val="20"/>
          <w:color w:val="auto"/>
        </w:rPr>
      </w:pPr>
      <w:r>
        <w:rPr>
          <w:rFonts w:ascii="Arial" w:cs="Arial" w:eastAsia="Arial" w:hAnsi="Arial"/>
          <w:sz w:val="24"/>
          <w:szCs w:val="24"/>
          <w:b w:val="1"/>
          <w:bCs w:val="1"/>
          <w:color w:val="auto"/>
        </w:rPr>
        <w:t>Nocera, Inc. Enters Agreement to Acquire 51% Controlling Interest in iTake Inc. in Taiwan</w:t>
      </w:r>
    </w:p>
    <w:p>
      <w:pPr>
        <w:spacing w:after="0" w:line="242" w:lineRule="exact"/>
        <w:rPr>
          <w:sz w:val="20"/>
          <w:szCs w:val="20"/>
          <w:color w:val="auto"/>
        </w:rPr>
      </w:pPr>
    </w:p>
    <w:p>
      <w:pPr>
        <w:spacing w:after="0"/>
        <w:rPr>
          <w:sz w:val="20"/>
          <w:szCs w:val="20"/>
          <w:color w:val="auto"/>
        </w:rPr>
      </w:pPr>
      <w:r>
        <w:rPr>
          <w:rFonts w:ascii="Arial" w:cs="Arial" w:eastAsia="Arial" w:hAnsi="Arial"/>
          <w:sz w:val="18"/>
          <w:szCs w:val="18"/>
          <w:b w:val="1"/>
          <w:bCs w:val="1"/>
          <w:color w:val="808080"/>
        </w:rPr>
        <w:t>PUBLISHED</w:t>
      </w:r>
    </w:p>
    <w:p>
      <w:pPr>
        <w:spacing w:after="0" w:line="27" w:lineRule="exact"/>
        <w:rPr>
          <w:sz w:val="20"/>
          <w:szCs w:val="20"/>
          <w:color w:val="auto"/>
        </w:rPr>
      </w:pPr>
    </w:p>
    <w:p>
      <w:pPr>
        <w:spacing w:after="0"/>
        <w:rPr>
          <w:sz w:val="20"/>
          <w:szCs w:val="20"/>
          <w:color w:val="auto"/>
        </w:rPr>
      </w:pPr>
      <w:r>
        <w:rPr>
          <w:rFonts w:ascii="Arial" w:cs="Arial" w:eastAsia="Arial" w:hAnsi="Arial"/>
          <w:sz w:val="18"/>
          <w:szCs w:val="18"/>
          <w:color w:val="auto"/>
        </w:rPr>
        <w:t>SEP 29, 2022 10:00AM EDT</w:t>
      </w:r>
    </w:p>
    <w:p>
      <w:pPr>
        <w:spacing w:after="0" w:line="198" w:lineRule="exact"/>
        <w:rPr>
          <w:sz w:val="20"/>
          <w:szCs w:val="20"/>
          <w:color w:val="auto"/>
        </w:rPr>
      </w:pPr>
    </w:p>
    <w:p>
      <w:pPr>
        <w:spacing w:after="0"/>
        <w:rPr>
          <w:sz w:val="20"/>
          <w:szCs w:val="20"/>
          <w:color w:val="auto"/>
        </w:rPr>
      </w:pPr>
      <w:r>
        <w:rPr>
          <w:rFonts w:ascii="Arial" w:cs="Arial" w:eastAsia="Arial" w:hAnsi="Arial"/>
          <w:sz w:val="21"/>
          <w:szCs w:val="21"/>
          <w:b w:val="1"/>
          <w:bCs w:val="1"/>
          <w:color w:val="2B2B2B"/>
        </w:rPr>
        <w:t>Acquisition Expected to Increase Current Revenues by up to $3 Million with Potentially $1 Million Gross Profit</w:t>
      </w:r>
    </w:p>
    <w:p>
      <w:pPr>
        <w:spacing w:after="0" w:line="227" w:lineRule="exact"/>
        <w:rPr>
          <w:sz w:val="20"/>
          <w:szCs w:val="20"/>
          <w:color w:val="auto"/>
        </w:rPr>
      </w:pPr>
    </w:p>
    <w:p>
      <w:pPr>
        <w:ind w:right="100"/>
        <w:spacing w:after="0" w:line="261" w:lineRule="auto"/>
        <w:rPr>
          <w:sz w:val="20"/>
          <w:szCs w:val="20"/>
          <w:color w:val="auto"/>
        </w:rPr>
      </w:pPr>
      <w:r>
        <w:rPr>
          <w:rFonts w:ascii="Arial" w:cs="Arial" w:eastAsia="Arial" w:hAnsi="Arial"/>
          <w:sz w:val="18"/>
          <w:szCs w:val="18"/>
          <w:b w:val="1"/>
          <w:bCs w:val="1"/>
          <w:color w:val="auto"/>
        </w:rPr>
        <w:t xml:space="preserve">TAIPEI, TAIWAN / ACCESSWIRE / September 29, 2022 / </w:t>
      </w:r>
      <w:r>
        <w:rPr>
          <w:rFonts w:ascii="Arial" w:cs="Arial" w:eastAsia="Arial" w:hAnsi="Arial"/>
          <w:sz w:val="18"/>
          <w:szCs w:val="18"/>
          <w:color w:val="auto"/>
        </w:rPr>
        <w:t>Nocera, Inc. (NASDAQ: NCRA) ("Nocera" or the "Company"), a fully integrated</w:t>
      </w:r>
      <w:r>
        <w:rPr>
          <w:rFonts w:ascii="Arial" w:cs="Arial" w:eastAsia="Arial" w:hAnsi="Arial"/>
          <w:sz w:val="18"/>
          <w:szCs w:val="18"/>
          <w:b w:val="1"/>
          <w:bCs w:val="1"/>
          <w:color w:val="auto"/>
        </w:rPr>
        <w:t xml:space="preserve"> </w:t>
      </w:r>
      <w:r>
        <w:rPr>
          <w:rFonts w:ascii="Arial" w:cs="Arial" w:eastAsia="Arial" w:hAnsi="Arial"/>
          <w:sz w:val="18"/>
          <w:szCs w:val="18"/>
          <w:color w:val="auto"/>
        </w:rPr>
        <w:t>sustainable seafood company focusing on manufacturing and operating land-based Recirculatory Aquaculture Systems (RAS), today announced that it has entered a purchase agreement to acquire a 51% controlling interest in iTake Inc., a Taiwan corporation located in Taipei City, Taiwan (R.O.C.), using Variable Interest Entity agreements (VIE).</w:t>
      </w:r>
    </w:p>
    <w:p>
      <w:pPr>
        <w:spacing w:after="0" w:line="184" w:lineRule="exact"/>
        <w:rPr>
          <w:sz w:val="20"/>
          <w:szCs w:val="20"/>
          <w:color w:val="auto"/>
        </w:rPr>
      </w:pPr>
    </w:p>
    <w:p>
      <w:pPr>
        <w:ind w:right="100"/>
        <w:spacing w:after="0" w:line="293" w:lineRule="auto"/>
        <w:rPr>
          <w:sz w:val="20"/>
          <w:szCs w:val="20"/>
          <w:color w:val="auto"/>
        </w:rPr>
      </w:pPr>
      <w:r>
        <w:rPr>
          <w:rFonts w:ascii="Arial" w:cs="Arial" w:eastAsia="Arial" w:hAnsi="Arial"/>
          <w:sz w:val="16"/>
          <w:szCs w:val="16"/>
          <w:color w:val="auto"/>
        </w:rPr>
        <w:t>The purchase price of iTtake's controlling interest is $200,000 plus 100,000 class A warrants. The purchase agreement was executed on September 26, 2022, and the acquisition is anticipated to close by November 15, 2022. iTake is an AIOT (Artificial Intelligence of Things) company that combines artificial intelligence (AI) computing and Internet Communication Technology. iTake currently has 21 locations in Taipei Metro Stations, and it is working with Taipei City Office and Taichung City office to commence a trial run to use their Smart Cabinets for directors interoffice document storage and delivery. A Smart Cabinet is an AIOT battery-powered locker that uses Wi-Fi and Bluetooth technology that provides users the ability to open and pick up deposited goods using their smartphones. Smart Cabinets can also be used as vending machines allowing the sale of goods by merchants.</w:t>
      </w:r>
    </w:p>
    <w:p>
      <w:pPr>
        <w:spacing w:after="0" w:line="164" w:lineRule="exact"/>
        <w:rPr>
          <w:sz w:val="20"/>
          <w:szCs w:val="20"/>
          <w:color w:val="auto"/>
        </w:rPr>
      </w:pPr>
    </w:p>
    <w:p>
      <w:pPr>
        <w:ind w:right="60"/>
        <w:spacing w:after="0" w:line="259" w:lineRule="auto"/>
        <w:rPr>
          <w:sz w:val="20"/>
          <w:szCs w:val="20"/>
          <w:color w:val="auto"/>
        </w:rPr>
      </w:pPr>
      <w:r>
        <w:rPr>
          <w:rFonts w:ascii="Arial" w:cs="Arial" w:eastAsia="Arial" w:hAnsi="Arial"/>
          <w:sz w:val="18"/>
          <w:szCs w:val="18"/>
          <w:color w:val="auto"/>
        </w:rPr>
        <w:t>iTake is also working with one of the biggest internet shopping platforms to roll out unmanned shops throughout Taiwan and Southeast Asia. iTake's current shopping platform has over 1,200 delivery locations in Taiwan. iTake's business strategy is to open 300 unmanned shops to save labor costs and eventually convert the 1,200 delivery locations into unmanned shops. The first unmanned shop is expected to be rolled out in November of 2022. For more information, please visit iTake's website at www.itake.space.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570865</wp:posOffset>
            </wp:positionH>
            <wp:positionV relativeFrom="paragraph">
              <wp:posOffset>127635</wp:posOffset>
            </wp:positionV>
            <wp:extent cx="6000750" cy="18427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6000750" cy="18427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right="80"/>
        <w:spacing w:after="0" w:line="311" w:lineRule="auto"/>
        <w:rPr>
          <w:sz w:val="20"/>
          <w:szCs w:val="20"/>
          <w:color w:val="auto"/>
        </w:rPr>
      </w:pPr>
      <w:r>
        <w:rPr>
          <w:rFonts w:ascii="Arial" w:cs="Arial" w:eastAsia="Arial" w:hAnsi="Arial"/>
          <w:sz w:val="16"/>
          <w:szCs w:val="16"/>
          <w:color w:val="auto"/>
        </w:rPr>
        <w:t>Jeff Cheng, CEO of Nocera, Inc., commented on the planned acquisition, "We believe that our strategic acquisition of a controlling interest in iTake will increase Nocera's 2023 revenue by $3,000,000 by giving us an AIOT way to sell and deliver our seafood and other food products to our customers through iTake's Smart Cabinets. iTake and Nocera are also working together to make smart frozen cabinets for the delivery of our frozen seafood. "</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11" w:right="339" w:bottom="1440" w:gutter="0" w:footer="0" w:header="0"/>
        </w:sectPr>
      </w:pPr>
    </w:p>
    <w:bookmarkStart w:id="8" w:name="page9"/>
    <w:bookmarkEnd w:id="8"/>
    <w:p>
      <w:pPr>
        <w:spacing w:after="0"/>
        <w:rPr>
          <w:sz w:val="20"/>
          <w:szCs w:val="20"/>
          <w:color w:val="auto"/>
        </w:rPr>
      </w:pPr>
      <w:r>
        <w:rPr>
          <w:rFonts w:ascii="Arial" w:cs="Arial" w:eastAsia="Arial" w:hAnsi="Arial"/>
          <w:sz w:val="18"/>
          <w:szCs w:val="18"/>
          <w:b w:val="1"/>
          <w:bCs w:val="1"/>
          <w:color w:val="auto"/>
        </w:rPr>
        <w:t>About Nocera, Inc.</w:t>
      </w:r>
    </w:p>
    <w:p>
      <w:pPr>
        <w:spacing w:after="0" w:line="229" w:lineRule="exact"/>
        <w:rPr>
          <w:sz w:val="20"/>
          <w:szCs w:val="20"/>
          <w:color w:val="auto"/>
        </w:rPr>
      </w:pPr>
    </w:p>
    <w:p>
      <w:pPr>
        <w:spacing w:after="0" w:line="257" w:lineRule="auto"/>
        <w:rPr>
          <w:sz w:val="20"/>
          <w:szCs w:val="20"/>
          <w:color w:val="auto"/>
        </w:rPr>
      </w:pPr>
      <w:r>
        <w:rPr>
          <w:rFonts w:ascii="Arial" w:cs="Arial" w:eastAsia="Arial" w:hAnsi="Arial"/>
          <w:sz w:val="18"/>
          <w:szCs w:val="18"/>
          <w:color w:val="auto"/>
        </w:rPr>
        <w:t>Nocera (NASDAQ: NCRA) is a fully integrated sustainable seafood company that provides land-based recirculation aquaculture systems (RAS) for both fresh and saltwater fish and invests in fish farms by building high-tech RASs. The Company's main business operation consists of the design, development, and production of large-scale RAS fish tank systems, (aquaculture) for fish farms along with expert consulting, technology transfer, and aquaculture project management services to new and existing aquaculture facilities and operators. For more information, please visit the company's website at www.nocera.company.</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Cautionary Note Regarding Forward-Looking Statements</w:t>
      </w:r>
    </w:p>
    <w:p>
      <w:pPr>
        <w:spacing w:after="0" w:line="229" w:lineRule="exact"/>
        <w:rPr>
          <w:sz w:val="20"/>
          <w:szCs w:val="20"/>
          <w:color w:val="auto"/>
        </w:rPr>
      </w:pPr>
    </w:p>
    <w:p>
      <w:pPr>
        <w:spacing w:after="0" w:line="271" w:lineRule="auto"/>
        <w:rPr>
          <w:sz w:val="20"/>
          <w:szCs w:val="20"/>
          <w:color w:val="auto"/>
        </w:rPr>
      </w:pPr>
      <w:r>
        <w:rPr>
          <w:rFonts w:ascii="Arial" w:cs="Arial" w:eastAsia="Arial" w:hAnsi="Arial"/>
          <w:sz w:val="17"/>
          <w:szCs w:val="17"/>
          <w:color w:val="auto"/>
        </w:rPr>
        <w:t>This press release contains forward-looking statements that are inherently subject to risks and uncertainties. Any statements contained in this document that are not historical facts are forward-looking statements as defined in the U.S. Private Securities Litigation Reform Act of 1995. Words such as "anticipates," "believes," "estimates," "expects," "forecasts," "intends," "may," "plan," "projects," "predicts," "should, "will" and similar expressions as they relate to Nocera are intended to identify such forward-looking statements. These risks and uncertainties include, but are not limited to, general economic and business conditions, effects of continued geopolitical unrest and regional conflicts, competition, changes in methods of marketing, delays in manufacturing or distribution, changes in customer order patterns, changes in customer offering mix, and various other factors beyond the company's control. Actual events or results may differ materially from those described in this press release due to any of these factors. Nocera is under no obligation to update or alter its forward-looking statements whether as a result of new information, future events or otherwise.</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color w:val="auto"/>
        </w:rPr>
        <w:t>Investor Contacts:Hanover Int'lJh@hanoverintlinc.com</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color w:val="auto"/>
        </w:rPr>
        <w:t>TraDigital IRChristine Petragliachristine@tradigitalir.com</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 xml:space="preserve">SOURCE: </w:t>
      </w:r>
      <w:r>
        <w:rPr>
          <w:rFonts w:ascii="Arial" w:cs="Arial" w:eastAsia="Arial" w:hAnsi="Arial"/>
          <w:sz w:val="18"/>
          <w:szCs w:val="18"/>
          <w:color w:val="auto"/>
        </w:rPr>
        <w:t>Nocera, Inc.</w:t>
      </w:r>
    </w:p>
    <w:p>
      <w:pPr>
        <w:spacing w:after="0" w:line="229" w:lineRule="exact"/>
        <w:rPr>
          <w:sz w:val="20"/>
          <w:szCs w:val="20"/>
          <w:color w:val="auto"/>
        </w:rPr>
      </w:pPr>
    </w:p>
    <w:p>
      <w:pPr>
        <w:spacing w:after="0"/>
        <w:rPr>
          <w:sz w:val="20"/>
          <w:szCs w:val="20"/>
          <w:color w:val="auto"/>
        </w:rPr>
      </w:pPr>
      <w:r>
        <w:rPr>
          <w:rFonts w:ascii="Arial" w:cs="Arial" w:eastAsia="Arial" w:hAnsi="Arial"/>
          <w:sz w:val="17"/>
          <w:szCs w:val="17"/>
          <w:color w:val="auto"/>
        </w:rPr>
        <w:t>accesswire.com https://www.accesswire.com/717836/Nocera-Inc-Enters-Agreement-to-Acquire-51-Controlling-Interest-in-iTake-Inc-in-Taiwan</w:t>
      </w: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20"/>
      </w:cols>
      <w:pgMar w:left="320" w:top="796" w:right="35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545E146"/>
    <w:multiLevelType w:val="hybridMultilevel"/>
    <w:lvl w:ilvl="0">
      <w:lvlJc w:val="left"/>
      <w:lvlText w:val="☐"/>
      <w:numFmt w:val="bullet"/>
      <w:start w:val="1"/>
    </w:lvl>
  </w:abstractNum>
  <w:abstractNum w:abstractNumId="1">
    <w:nsid w:val="515F007C"/>
    <w:multiLevelType w:val="hybridMultilevel"/>
    <w:lvl w:ilvl="0">
      <w:lvlJc w:val="left"/>
      <w:lvlText w:val="%1."/>
      <w:numFmt w:val="decimal"/>
      <w:start w:val="1"/>
    </w:lvl>
  </w:abstractNum>
  <w:abstractNum w:abstractNumId="2">
    <w:nsid w:val="5BD062C2"/>
    <w:multiLevelType w:val="hybridMultilevel"/>
    <w:lvl w:ilvl="0">
      <w:lvlJc w:val="left"/>
      <w:lvlText w:val="%1."/>
      <w:numFmt w:val="decimal"/>
      <w:start w:val="2"/>
    </w:lvl>
  </w:abstractNum>
  <w:abstractNum w:abstractNumId="3">
    <w:nsid w:val="12200854"/>
    <w:multiLevelType w:val="hybridMultilevel"/>
    <w:lvl w:ilvl="0">
      <w:lvlJc w:val="left"/>
      <w:lvlText w:val="%1."/>
      <w:numFmt w:val="decimal"/>
      <w:start w:val="3"/>
    </w:lvl>
  </w:abstractNum>
  <w:abstractNum w:abstractNumId="4">
    <w:nsid w:val="4DB127F8"/>
    <w:multiLevelType w:val="hybridMultilevel"/>
    <w:lvl w:ilvl="0">
      <w:lvlJc w:val="left"/>
      <w:lvlText w:val="%1."/>
      <w:numFmt w:val="decimal"/>
      <w:start w:val="4"/>
    </w:lvl>
  </w:abstractNum>
  <w:abstractNum w:abstractNumId="5">
    <w:nsid w:val="216231B"/>
    <w:multiLevelType w:val="hybridMultilevel"/>
    <w:lvl w:ilvl="0">
      <w:lvlJc w:val="left"/>
      <w:lvlText w:val="%1."/>
      <w:numFmt w:val="decimal"/>
      <w:start w:val="5"/>
    </w:lvl>
  </w:abstractNum>
  <w:abstractNum w:abstractNumId="6">
    <w:nsid w:val="1F16E9E8"/>
    <w:multiLevelType w:val="hybridMultilevel"/>
    <w:lvl w:ilvl="0">
      <w:lvlJc w:val="left"/>
      <w:lvlText w:val="%1."/>
      <w:numFmt w:val="decimal"/>
      <w:start w:val="6"/>
    </w:lvl>
  </w:abstractNum>
  <w:abstractNum w:abstractNumId="7">
    <w:nsid w:val="1190CDE7"/>
    <w:multiLevelType w:val="hybridMultilevel"/>
    <w:lvl w:ilvl="0">
      <w:lvlJc w:val="left"/>
      <w:lvlText w:val="%1."/>
      <w:numFmt w:val="decimal"/>
      <w:start w:val="7"/>
    </w:lvl>
  </w:abstractNum>
  <w:abstractNum w:abstractNumId="8">
    <w:nsid w:val="66EF438D"/>
    <w:multiLevelType w:val="hybridMultilevel"/>
    <w:lvl w:ilvl="0">
      <w:lvlJc w:val="left"/>
      <w:lvlText w:val="%1."/>
      <w:numFmt w:val="decimal"/>
      <w:start w:val="1"/>
    </w:lvl>
  </w:abstractNum>
  <w:abstractNum w:abstractNumId="9">
    <w:nsid w:val="140E0F76"/>
    <w:multiLevelType w:val="hybridMultilevel"/>
    <w:lvl w:ilvl="0">
      <w:lvlJc w:val="left"/>
      <w:lvlText w:val="%1."/>
      <w:numFmt w:val="decimal"/>
      <w:start w:val="2"/>
    </w:lvl>
  </w:abstractNum>
  <w:abstractNum w:abstractNumId="10">
    <w:nsid w:val="3352255A"/>
    <w:multiLevelType w:val="hybridMultilevel"/>
    <w:lvl w:ilvl="0">
      <w:lvlJc w:val="left"/>
      <w:lvlText w:val="%1."/>
      <w:numFmt w:val="decimal"/>
      <w:start w:val="3"/>
    </w:lvl>
  </w:abstractNum>
  <w:abstractNum w:abstractNumId="11">
    <w:nsid w:val="109CF92E"/>
    <w:multiLevelType w:val="hybridMultilevel"/>
    <w:lvl w:ilvl="0">
      <w:lvlJc w:val="left"/>
      <w:lvlText w:val="%1."/>
      <w:numFmt w:val="decimal"/>
      <w:start w:val="4"/>
    </w:lvl>
  </w:abstractNum>
  <w:abstractNum w:abstractNumId="12">
    <w:nsid w:val="DED7263"/>
    <w:multiLevelType w:val="hybridMultilevel"/>
    <w:lvl w:ilvl="0">
      <w:lvlJc w:val="left"/>
      <w:lvlText w:val="%1."/>
      <w:numFmt w:val="decimal"/>
      <w:start w:val="5"/>
    </w:lvl>
  </w:abstractNum>
  <w:abstractNum w:abstractNumId="13">
    <w:nsid w:val="7FDCC233"/>
    <w:multiLevelType w:val="hybridMultilevel"/>
    <w:lvl w:ilvl="0">
      <w:lvlJc w:val="left"/>
      <w:lvlText w:val="%1."/>
      <w:numFmt w:val="decimal"/>
      <w:start w:val="6"/>
    </w:lvl>
  </w:abstractNum>
  <w:abstractNum w:abstractNumId="14">
    <w:nsid w:val="1BEFD79F"/>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2022-09-30T05:16:28Z</dcterms:created>
  <dcterms:modified xsi:type="dcterms:W3CDTF">2022-09-30T05:16:28Z</dcterms:modified>
</cp:coreProperties>
</file>