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-246380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UNITED STATES SECURITIES AND EXCHANGE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5184140</wp:posOffset>
            </wp:positionH>
            <wp:positionV relativeFrom="paragraph">
              <wp:posOffset>1905</wp:posOffset>
            </wp:positionV>
            <wp:extent cx="59690" cy="6692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3913505</wp:posOffset>
            </wp:positionH>
            <wp:positionV relativeFrom="paragraph">
              <wp:posOffset>1905</wp:posOffset>
            </wp:positionV>
            <wp:extent cx="59690" cy="6692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"/>
        </w:trPr>
        <w:tc>
          <w:tcPr>
            <w:tcW w:w="6180" w:type="dxa"/>
            <w:vAlign w:val="bottom"/>
            <w:vMerge w:val="restart"/>
          </w:tcPr>
          <w:p>
            <w:pPr>
              <w:jc w:val="center"/>
              <w:ind w:right="265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COMMISSION</w:t>
            </w: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808080"/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61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3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6180" w:type="dxa"/>
            <w:vAlign w:val="bottom"/>
            <w:vMerge w:val="restart"/>
          </w:tcPr>
          <w:p>
            <w:pPr>
              <w:jc w:val="center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1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6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180" w:type="dxa"/>
            <w:vAlign w:val="bottom"/>
            <w:vMerge w:val="restart"/>
          </w:tcPr>
          <w:p>
            <w:pPr>
              <w:jc w:val="center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5" w:lineRule="exact"/>
        <w:rPr>
          <w:sz w:val="24"/>
          <w:szCs w:val="24"/>
          <w:color w:val="auto"/>
        </w:rPr>
      </w:pPr>
    </w:p>
    <w:p>
      <w:pPr>
        <w:jc w:val="center"/>
        <w:ind w:right="2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jc w:val="center"/>
        <w:ind w:right="2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-1708785</wp:posOffset>
            </wp:positionH>
            <wp:positionV relativeFrom="paragraph">
              <wp:posOffset>13970</wp:posOffset>
            </wp:positionV>
            <wp:extent cx="6987540" cy="5536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553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40" w:space="440"/>
            <w:col w:w="8400"/>
          </w:cols>
          <w:pgMar w:left="460" w:top="226" w:right="35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CHENG YIN-CHIEH</w:t>
        </w:r>
      </w:hyperlink>
    </w:p>
    <w:p>
      <w:pPr>
        <w:spacing w:after="0" w:line="30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1000 3F (BUILDING B), NO 185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SEC 1, DATONG RD., XIZHI DIST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NEW TAPEI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F5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221451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CITY</w:t>
            </w: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gridSpan w:val="3"/>
          </w:tcPr>
          <w:p>
            <w:pPr>
              <w:spacing w:after="0" w:line="143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NOCERA, INC.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NCRA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]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6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50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06/06/2023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CEO, President &amp; Director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00"/>
        <w:spacing w:after="0" w:line="223" w:lineRule="auto"/>
        <w:tabs>
          <w:tab w:leader="none" w:pos="4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Rule 10b5-1(c) Transaction Indication</w:t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340" w:right="34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Check this box to indicate that a transaction was made pursuant to a contract, instruction or written plan that is intended to satisfy the affirmative defense conditions of Rule 10b5-1(c). See Instruction 10.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6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20" w:type="dxa"/>
            <w:vAlign w:val="bottom"/>
          </w:tcPr>
          <w:p>
            <w:pPr>
              <w:ind w:left="1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 (I)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6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 V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06/06/2023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20,000</w:t>
            </w:r>
          </w:p>
        </w:tc>
        <w:tc>
          <w:tcPr>
            <w:tcW w:w="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1.58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3,593,391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06/07/2023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23,000</w:t>
            </w:r>
          </w:p>
        </w:tc>
        <w:tc>
          <w:tcPr>
            <w:tcW w:w="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1.59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3,616,391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60" w:type="dxa"/>
            <w:vAlign w:val="bottom"/>
            <w:gridSpan w:val="1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10.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</w:tcPr>
          <w:p>
            <w:pPr>
              <w:ind w:left="4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ind w:left="4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/s/ Yin-Chieh Cheng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06/08/2023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** Signature of Reporting Person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-2355215</wp:posOffset>
            </wp:positionV>
            <wp:extent cx="29845" cy="1913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22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62937" TargetMode="External"/><Relationship Id="rId13" Type="http://schemas.openxmlformats.org/officeDocument/2006/relationships/hyperlink" Target="http://www.sec.gov/cgi-bin/browse-edgar?action=getcompany&amp;CIK=00017561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2023-06-08T20:39:55Z</dcterms:created>
  <dcterms:modified xsi:type="dcterms:W3CDTF">2023-06-08T20:39:55Z</dcterms:modified>
</cp:coreProperties>
</file>