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FORM 8-K</w:t>
      </w:r>
    </w:p>
    <w:p>
      <w:pPr>
        <w:spacing w:after="0" w:line="21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 Securities Exchange Act of 1934</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 xml:space="preserve">Date of Report (date of earliest event reported): </w:t>
      </w:r>
      <w:r>
        <w:rPr>
          <w:rFonts w:ascii="Times New Roman" w:cs="Times New Roman" w:eastAsia="Times New Roman" w:hAnsi="Times New Roman"/>
          <w:sz w:val="18"/>
          <w:szCs w:val="18"/>
          <w:b w:val="1"/>
          <w:bCs w:val="1"/>
          <w:color w:val="auto"/>
        </w:rPr>
        <w:t>January 15, 2025</w:t>
      </w:r>
    </w:p>
    <w:p>
      <w:pPr>
        <w:spacing w:after="0" w:line="216"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u w:val="single" w:color="auto"/>
          <w:color w:val="auto"/>
        </w:rPr>
        <w:t>NOCERA,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charter)</w:t>
      </w:r>
    </w:p>
    <w:p>
      <w:pPr>
        <w:spacing w:after="0" w:line="201" w:lineRule="exact"/>
        <w:rPr>
          <w:sz w:val="24"/>
          <w:szCs w:val="24"/>
          <w:color w:val="auto"/>
        </w:rPr>
      </w:pPr>
    </w:p>
    <w:tbl>
      <w:tblPr>
        <w:tblLayout w:type="fixed"/>
        <w:tblInd w:w="0" w:type="dxa"/>
        <w:tblCellMar>
          <w:top w:w="0" w:type="dxa"/>
          <w:left w:w="0" w:type="dxa"/>
          <w:bottom w:w="0" w:type="dxa"/>
          <w:right w:w="0" w:type="dxa"/>
        </w:tblCellMar>
      </w:tblPr>
      <w:tr>
        <w:trPr>
          <w:trHeight w:val="245"/>
        </w:trPr>
        <w:tc>
          <w:tcPr>
            <w:tcW w:w="384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Nevada</w:t>
            </w:r>
          </w:p>
        </w:tc>
        <w:tc>
          <w:tcPr>
            <w:tcW w:w="360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001-41434</w:t>
            </w:r>
          </w:p>
        </w:tc>
        <w:tc>
          <w:tcPr>
            <w:tcW w:w="200" w:type="dxa"/>
            <w:vAlign w:val="bottom"/>
          </w:tcPr>
          <w:p>
            <w:pPr>
              <w:spacing w:after="0"/>
              <w:rPr>
                <w:sz w:val="21"/>
                <w:szCs w:val="21"/>
                <w:color w:val="auto"/>
              </w:rPr>
            </w:pPr>
          </w:p>
        </w:tc>
        <w:tc>
          <w:tcPr>
            <w:tcW w:w="360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16-1626611</w:t>
            </w:r>
          </w:p>
        </w:tc>
      </w:tr>
      <w:tr>
        <w:trPr>
          <w:trHeight w:val="198"/>
        </w:trPr>
        <w:tc>
          <w:tcPr>
            <w:tcW w:w="3620" w:type="dxa"/>
            <w:vAlign w:val="bottom"/>
            <w:tcBorders>
              <w:top w:val="single" w:sz="8" w:color="auto"/>
            </w:tcBorders>
          </w:tcPr>
          <w:p>
            <w:pPr>
              <w:jc w:val="center"/>
              <w:spacing w:after="0" w:line="198" w:lineRule="exact"/>
              <w:rPr>
                <w:sz w:val="20"/>
                <w:szCs w:val="20"/>
                <w:color w:val="auto"/>
              </w:rPr>
            </w:pPr>
            <w:r>
              <w:rPr>
                <w:rFonts w:ascii="Times New Roman" w:cs="Times New Roman" w:eastAsia="Times New Roman" w:hAnsi="Times New Roman"/>
                <w:sz w:val="18"/>
                <w:szCs w:val="18"/>
                <w:color w:val="auto"/>
              </w:rPr>
              <w:t>(State or other jurisdiction</w:t>
            </w:r>
          </w:p>
        </w:tc>
        <w:tc>
          <w:tcPr>
            <w:tcW w:w="220" w:type="dxa"/>
            <w:vAlign w:val="bottom"/>
          </w:tcPr>
          <w:p>
            <w:pPr>
              <w:spacing w:after="0"/>
              <w:rPr>
                <w:sz w:val="17"/>
                <w:szCs w:val="17"/>
                <w:color w:val="auto"/>
              </w:rPr>
            </w:pPr>
          </w:p>
        </w:tc>
        <w:tc>
          <w:tcPr>
            <w:tcW w:w="3600" w:type="dxa"/>
            <w:vAlign w:val="bottom"/>
            <w:tcBorders>
              <w:top w:val="single" w:sz="8" w:color="auto"/>
            </w:tcBorders>
          </w:tcPr>
          <w:p>
            <w:pPr>
              <w:jc w:val="center"/>
              <w:spacing w:after="0" w:line="198" w:lineRule="exact"/>
              <w:rPr>
                <w:sz w:val="20"/>
                <w:szCs w:val="20"/>
                <w:color w:val="auto"/>
              </w:rPr>
            </w:pPr>
            <w:r>
              <w:rPr>
                <w:rFonts w:ascii="Times New Roman" w:cs="Times New Roman" w:eastAsia="Times New Roman" w:hAnsi="Times New Roman"/>
                <w:sz w:val="18"/>
                <w:szCs w:val="18"/>
                <w:color w:val="auto"/>
                <w:w w:val="98"/>
              </w:rPr>
              <w:t>(Commission</w:t>
            </w:r>
          </w:p>
        </w:tc>
        <w:tc>
          <w:tcPr>
            <w:tcW w:w="200" w:type="dxa"/>
            <w:vAlign w:val="bottom"/>
          </w:tcPr>
          <w:p>
            <w:pPr>
              <w:spacing w:after="0"/>
              <w:rPr>
                <w:sz w:val="17"/>
                <w:szCs w:val="17"/>
                <w:color w:val="auto"/>
              </w:rPr>
            </w:pPr>
          </w:p>
        </w:tc>
        <w:tc>
          <w:tcPr>
            <w:tcW w:w="3600" w:type="dxa"/>
            <w:vAlign w:val="bottom"/>
            <w:tcBorders>
              <w:top w:val="single" w:sz="8" w:color="auto"/>
            </w:tcBorders>
          </w:tcPr>
          <w:p>
            <w:pPr>
              <w:jc w:val="center"/>
              <w:spacing w:after="0" w:line="198" w:lineRule="exact"/>
              <w:rPr>
                <w:sz w:val="20"/>
                <w:szCs w:val="20"/>
                <w:color w:val="auto"/>
              </w:rPr>
            </w:pPr>
            <w:r>
              <w:rPr>
                <w:rFonts w:ascii="Times New Roman" w:cs="Times New Roman" w:eastAsia="Times New Roman" w:hAnsi="Times New Roman"/>
                <w:sz w:val="18"/>
                <w:szCs w:val="18"/>
                <w:color w:val="auto"/>
              </w:rPr>
              <w:t>(IRS Employer</w:t>
            </w:r>
          </w:p>
        </w:tc>
      </w:tr>
      <w:tr>
        <w:trPr>
          <w:trHeight w:val="234"/>
        </w:trPr>
        <w:tc>
          <w:tcPr>
            <w:tcW w:w="384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color w:val="auto"/>
                <w:w w:val="99"/>
              </w:rPr>
              <w:t>of incorporation)</w:t>
            </w:r>
          </w:p>
        </w:tc>
        <w:tc>
          <w:tcPr>
            <w:tcW w:w="380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color w:val="auto"/>
                <w:w w:val="98"/>
              </w:rPr>
              <w:t>File Number)</w:t>
            </w:r>
          </w:p>
        </w:tc>
        <w:tc>
          <w:tcPr>
            <w:tcW w:w="36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Identification No.)</w:t>
            </w:r>
          </w:p>
        </w:tc>
      </w:tr>
    </w:tbl>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3F (Building B), No. 185, Sec. 1, Datong Rd., Xizhi Dist., New Taipei City Taiwan 221, ROC</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(Address of principal executive offices and zip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(886) 910-163-358</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(Registrant’s telephone number, including area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Not Applicable</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207" w:lineRule="exact"/>
        <w:rPr>
          <w:sz w:val="24"/>
          <w:szCs w:val="24"/>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registrant under any of the following provisions:</w:t>
      </w:r>
    </w:p>
    <w:p>
      <w:pPr>
        <w:spacing w:after="0" w:line="162" w:lineRule="exact"/>
        <w:rPr>
          <w:sz w:val="24"/>
          <w:szCs w:val="24"/>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right="2980" w:firstLine="8"/>
        <w:spacing w:after="0" w:line="498" w:lineRule="auto"/>
        <w:tabs>
          <w:tab w:leader="none" w:pos="207"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 Securities registered pursuant to Section 12(b) of the Act: None</w:t>
      </w:r>
    </w:p>
    <w:p>
      <w:pPr>
        <w:spacing w:after="0" w:line="1" w:lineRule="exact"/>
        <w:rPr>
          <w:sz w:val="24"/>
          <w:szCs w:val="24"/>
          <w:color w:val="auto"/>
        </w:rPr>
      </w:pPr>
    </w:p>
    <w:tbl>
      <w:tblPr>
        <w:tblLayout w:type="fixed"/>
        <w:tblInd w:w="0" w:type="dxa"/>
        <w:tblCellMar>
          <w:top w:w="0" w:type="dxa"/>
          <w:left w:w="0" w:type="dxa"/>
          <w:bottom w:w="0" w:type="dxa"/>
          <w:right w:w="0" w:type="dxa"/>
        </w:tblCellMar>
      </w:tblPr>
      <w:tr>
        <w:trPr>
          <w:trHeight w:val="238"/>
        </w:trPr>
        <w:tc>
          <w:tcPr>
            <w:tcW w:w="4220" w:type="dxa"/>
            <w:vAlign w:val="bottom"/>
            <w:tcBorders>
              <w:bottom w:val="single" w:sz="8" w:color="auto"/>
            </w:tcBorders>
          </w:tcPr>
          <w:p>
            <w:pPr>
              <w:jc w:val="center"/>
              <w:ind w:right="410"/>
              <w:spacing w:after="0"/>
              <w:rPr>
                <w:sz w:val="20"/>
                <w:szCs w:val="20"/>
                <w:color w:val="auto"/>
              </w:rPr>
            </w:pPr>
            <w:r>
              <w:rPr>
                <w:rFonts w:ascii="Times New Roman" w:cs="Times New Roman" w:eastAsia="Times New Roman" w:hAnsi="Times New Roman"/>
                <w:sz w:val="18"/>
                <w:szCs w:val="18"/>
                <w:b w:val="1"/>
                <w:bCs w:val="1"/>
                <w:color w:val="auto"/>
              </w:rPr>
              <w:t>Title of each class</w:t>
            </w:r>
          </w:p>
        </w:tc>
        <w:tc>
          <w:tcPr>
            <w:tcW w:w="276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Trading Symbol</w:t>
            </w:r>
          </w:p>
        </w:tc>
        <w:tc>
          <w:tcPr>
            <w:tcW w:w="4260" w:type="dxa"/>
            <w:vAlign w:val="bottom"/>
            <w:tcBorders>
              <w:bottom w:val="single" w:sz="8" w:color="auto"/>
            </w:tcBorders>
          </w:tcPr>
          <w:p>
            <w:pPr>
              <w:jc w:val="center"/>
              <w:ind w:left="470"/>
              <w:spacing w:after="0"/>
              <w:rPr>
                <w:sz w:val="20"/>
                <w:szCs w:val="20"/>
                <w:color w:val="auto"/>
              </w:rPr>
            </w:pPr>
            <w:r>
              <w:rPr>
                <w:rFonts w:ascii="Times New Roman" w:cs="Times New Roman" w:eastAsia="Times New Roman" w:hAnsi="Times New Roman"/>
                <w:sz w:val="18"/>
                <w:szCs w:val="18"/>
                <w:b w:val="1"/>
                <w:bCs w:val="1"/>
                <w:color w:val="auto"/>
                <w:w w:val="99"/>
              </w:rPr>
              <w:t>Name of each exchange on which registered</w:t>
            </w:r>
          </w:p>
        </w:tc>
      </w:tr>
      <w:tr>
        <w:trPr>
          <w:trHeight w:val="228"/>
        </w:trPr>
        <w:tc>
          <w:tcPr>
            <w:tcW w:w="4220" w:type="dxa"/>
            <w:vAlign w:val="bottom"/>
          </w:tcPr>
          <w:p>
            <w:pPr>
              <w:jc w:val="center"/>
              <w:ind w:right="410"/>
              <w:spacing w:after="0"/>
              <w:rPr>
                <w:sz w:val="20"/>
                <w:szCs w:val="20"/>
                <w:color w:val="auto"/>
              </w:rPr>
            </w:pPr>
            <w:r>
              <w:rPr>
                <w:rFonts w:ascii="Times New Roman" w:cs="Times New Roman" w:eastAsia="Times New Roman" w:hAnsi="Times New Roman"/>
                <w:sz w:val="18"/>
                <w:szCs w:val="18"/>
                <w:color w:val="auto"/>
                <w:w w:val="99"/>
              </w:rPr>
              <w:t>Common Stock, par value $0.001 per share</w:t>
            </w:r>
          </w:p>
        </w:tc>
        <w:tc>
          <w:tcPr>
            <w:tcW w:w="276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NCRA</w:t>
            </w:r>
          </w:p>
        </w:tc>
        <w:tc>
          <w:tcPr>
            <w:tcW w:w="4260" w:type="dxa"/>
            <w:vAlign w:val="bottom"/>
          </w:tcPr>
          <w:p>
            <w:pPr>
              <w:jc w:val="center"/>
              <w:ind w:left="470"/>
              <w:spacing w:after="0"/>
              <w:rPr>
                <w:sz w:val="20"/>
                <w:szCs w:val="20"/>
                <w:color w:val="auto"/>
              </w:rPr>
            </w:pPr>
            <w:r>
              <w:rPr>
                <w:rFonts w:ascii="Times New Roman" w:cs="Times New Roman" w:eastAsia="Times New Roman" w:hAnsi="Times New Roman"/>
                <w:sz w:val="18"/>
                <w:szCs w:val="18"/>
                <w:color w:val="auto"/>
                <w:w w:val="99"/>
              </w:rPr>
              <w:t>The Nasdaq Stock Market LLC</w:t>
            </w:r>
          </w:p>
        </w:tc>
      </w:tr>
    </w:tbl>
    <w:p>
      <w:pPr>
        <w:spacing w:after="0" w:line="179" w:lineRule="exact"/>
        <w:rPr>
          <w:sz w:val="24"/>
          <w:szCs w:val="24"/>
          <w:color w:val="auto"/>
        </w:rPr>
      </w:pPr>
    </w:p>
    <w:p>
      <w:pPr>
        <w:jc w:val="both"/>
        <w:ind w:right="20"/>
        <w:spacing w:after="0" w:line="258"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ind w:left="9060"/>
        <w:spacing w:after="0" w:line="196" w:lineRule="exact"/>
        <w:rPr>
          <w:sz w:val="20"/>
          <w:szCs w:val="20"/>
          <w:color w:val="auto"/>
        </w:rPr>
      </w:pPr>
      <w:r>
        <w:rPr>
          <w:rFonts w:ascii="Times New Roman" w:cs="Times New Roman" w:eastAsia="Times New Roman" w:hAnsi="Times New Roman"/>
          <w:sz w:val="17"/>
          <w:szCs w:val="17"/>
          <w:color w:val="auto"/>
        </w:rPr>
        <w:t xml:space="preserve">Emerging growth company </w:t>
      </w:r>
      <w:r>
        <w:rPr>
          <w:rFonts w:ascii="MS PGothic" w:cs="MS PGothic" w:eastAsia="MS PGothic" w:hAnsi="MS PGothic"/>
          <w:sz w:val="17"/>
          <w:szCs w:val="17"/>
          <w:color w:val="auto"/>
        </w:rPr>
        <w:t>☒</w:t>
      </w:r>
    </w:p>
    <w:p>
      <w:pPr>
        <w:spacing w:after="0" w:line="223" w:lineRule="exact"/>
        <w:rPr>
          <w:sz w:val="24"/>
          <w:szCs w:val="24"/>
          <w:color w:val="auto"/>
        </w:rPr>
      </w:pPr>
    </w:p>
    <w:p>
      <w:pPr>
        <w:jc w:val="both"/>
        <w:spacing w:after="0" w:line="293"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635000</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225" w:right="339" w:bottom="1440" w:gutter="0" w:footer="0" w:header="0"/>
        </w:sectPr>
      </w:pPr>
    </w:p>
    <w:bookmarkStart w:id="1" w:name="page2"/>
    <w:bookmarkEnd w:id="1"/>
    <w:p>
      <w:pPr>
        <w:spacing w:after="0"/>
        <w:rPr>
          <w:sz w:val="20"/>
          <w:szCs w:val="20"/>
          <w:color w:val="auto"/>
        </w:rPr>
      </w:pPr>
      <w:r>
        <w:rPr>
          <w:rFonts w:ascii="Times New Roman" w:cs="Times New Roman" w:eastAsia="Times New Roman" w:hAnsi="Times New Roman"/>
          <w:sz w:val="18"/>
          <w:szCs w:val="18"/>
          <w:b w:val="1"/>
          <w:bCs w:val="1"/>
          <w:color w:val="auto"/>
        </w:rPr>
        <w:t>Item 3.01 Notice of Delisting or Failure to Satisfy a Continued Listing Rule or Standard; Transfer of Listing.</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January 15, 2025, Nocera, Inc. (the “Company”) received a letter from the Nasdaq Listing Qualifications Staff of The Nasdaq Stock Market LLC (“Nasdaq”) therein stating that for the 30 consecutive business day period between November 29, 2024 through January 14, 2025, the common stock of the Company had not maintained a minimum closing bid price of $1.00 per share required for continued listing on The Nasdaq Capital Market pursuant to Nasdaq Listing Rule 5550(a)(2) (the “Bid Price Rule”). Pursuant to Nasdaq Listing Rule 5810(c)(3)(A), the Company was provided an initial period of 180 calendar days, or until July 14, 2025 (the “Compliance Period”), to regain compliance with the Bid Price Rule.</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If the Company does not regain compliance with the Bid Price Rule by July 14, 2025, the Company may be eligible for an additional 180-day period to regain compliance. To qualify, the Company would be required to meet the continued listing requirement for market value of publicly held shares and all other initial listing standards for The Nasdaq Capital Market, with the exception of the Bid Price Rule, and would need to provide written notice of its intention to cure the bid price deficiency during the second compliance period, by effecting a reverse stock split, if necessary.</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If the Company cannot regain compliance during the Compliance Period or any subsequently granted compliance period, the common stock of the Company will be subject to delisting. At that time, the Company may appeal the delisting determination to a Nasdaq hearings panel.</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notice from Nasdaq has no immediate effect on the listing of the Company’s common stock and its common stock will continue to be listed on The Nasdaq Capital Market under the symbol “NCRA.” The Company is currently evaluating its options for regaining compliance. There can be no assurance that the Company will regain compliance with the Bid Price Rule or maintain compliance with any of the other Nasdaq continued listing requirements.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jc w:val="center"/>
        <w:ind w:right="-319"/>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4"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660" w:type="dxa"/>
            <w:vAlign w:val="bottom"/>
          </w:tcPr>
          <w:p>
            <w:pPr>
              <w:spacing w:after="0"/>
              <w:rPr>
                <w:sz w:val="20"/>
                <w:szCs w:val="20"/>
                <w:color w:val="auto"/>
              </w:rPr>
            </w:pPr>
          </w:p>
        </w:tc>
        <w:tc>
          <w:tcPr>
            <w:tcW w:w="4120" w:type="dxa"/>
            <w:vAlign w:val="bottom"/>
            <w:gridSpan w:val="3"/>
          </w:tcPr>
          <w:p>
            <w:pPr>
              <w:ind w:left="1960"/>
              <w:spacing w:after="0"/>
              <w:rPr>
                <w:sz w:val="20"/>
                <w:szCs w:val="20"/>
                <w:color w:val="auto"/>
              </w:rPr>
            </w:pPr>
            <w:r>
              <w:rPr>
                <w:rFonts w:ascii="Times New Roman" w:cs="Times New Roman" w:eastAsia="Times New Roman" w:hAnsi="Times New Roman"/>
                <w:sz w:val="18"/>
                <w:szCs w:val="18"/>
                <w:b w:val="1"/>
                <w:bCs w:val="1"/>
                <w:color w:val="auto"/>
              </w:rPr>
              <w:t>NOCERA, INC.</w:t>
            </w:r>
          </w:p>
        </w:tc>
      </w:tr>
      <w:tr>
        <w:trPr>
          <w:trHeight w:val="608"/>
        </w:trPr>
        <w:tc>
          <w:tcPr>
            <w:tcW w:w="3660" w:type="dxa"/>
            <w:vAlign w:val="bottom"/>
          </w:tcPr>
          <w:p>
            <w:pPr>
              <w:spacing w:after="0"/>
              <w:rPr>
                <w:sz w:val="20"/>
                <w:szCs w:val="20"/>
                <w:color w:val="auto"/>
              </w:rPr>
            </w:pPr>
            <w:r>
              <w:rPr>
                <w:rFonts w:ascii="Times New Roman" w:cs="Times New Roman" w:eastAsia="Times New Roman" w:hAnsi="Times New Roman"/>
                <w:sz w:val="18"/>
                <w:szCs w:val="18"/>
                <w:color w:val="auto"/>
              </w:rPr>
              <w:t>Date: January 21, 2025</w:t>
            </w:r>
          </w:p>
        </w:tc>
        <w:tc>
          <w:tcPr>
            <w:tcW w:w="4120" w:type="dxa"/>
            <w:vAlign w:val="bottom"/>
            <w:gridSpan w:val="3"/>
          </w:tcPr>
          <w:p>
            <w:pPr>
              <w:ind w:left="1960"/>
              <w:spacing w:after="0"/>
              <w:rPr>
                <w:sz w:val="20"/>
                <w:szCs w:val="20"/>
                <w:color w:val="auto"/>
              </w:rPr>
            </w:pPr>
            <w:r>
              <w:rPr>
                <w:rFonts w:ascii="Times New Roman" w:cs="Times New Roman" w:eastAsia="Times New Roman" w:hAnsi="Times New Roman"/>
                <w:sz w:val="18"/>
                <w:szCs w:val="18"/>
                <w:color w:val="auto"/>
              </w:rPr>
              <w:t xml:space="preserve">By: </w:t>
            </w:r>
            <w:r>
              <w:rPr>
                <w:rFonts w:ascii="Times New Roman" w:cs="Times New Roman" w:eastAsia="Times New Roman" w:hAnsi="Times New Roman"/>
                <w:sz w:val="18"/>
                <w:szCs w:val="18"/>
                <w:i w:val="1"/>
                <w:iCs w:val="1"/>
                <w:color w:val="auto"/>
              </w:rPr>
              <w:t>/s/ Andy Ching-An Jin</w:t>
            </w:r>
          </w:p>
        </w:tc>
      </w:tr>
      <w:tr>
        <w:trPr>
          <w:trHeight w:val="20"/>
        </w:trPr>
        <w:tc>
          <w:tcPr>
            <w:tcW w:w="3660" w:type="dxa"/>
            <w:vAlign w:val="bottom"/>
          </w:tcPr>
          <w:p>
            <w:pPr>
              <w:spacing w:after="0" w:line="20" w:lineRule="exact"/>
              <w:rPr>
                <w:sz w:val="1"/>
                <w:szCs w:val="1"/>
                <w:color w:val="auto"/>
              </w:rPr>
            </w:pPr>
          </w:p>
        </w:tc>
        <w:tc>
          <w:tcPr>
            <w:tcW w:w="2260" w:type="dxa"/>
            <w:vAlign w:val="bottom"/>
          </w:tcPr>
          <w:p>
            <w:pPr>
              <w:spacing w:after="0" w:line="20" w:lineRule="exact"/>
              <w:rPr>
                <w:sz w:val="1"/>
                <w:szCs w:val="1"/>
                <w:color w:val="auto"/>
              </w:rPr>
            </w:pPr>
          </w:p>
        </w:tc>
        <w:tc>
          <w:tcPr>
            <w:tcW w:w="1600" w:type="dxa"/>
            <w:vAlign w:val="bottom"/>
            <w:shd w:val="clear" w:color="auto" w:fill="000000"/>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r>
      <w:tr>
        <w:trPr>
          <w:trHeight w:val="218"/>
        </w:trPr>
        <w:tc>
          <w:tcPr>
            <w:tcW w:w="3660" w:type="dxa"/>
            <w:vAlign w:val="bottom"/>
          </w:tcPr>
          <w:p>
            <w:pPr>
              <w:spacing w:after="0"/>
              <w:rPr>
                <w:sz w:val="18"/>
                <w:szCs w:val="18"/>
                <w:color w:val="auto"/>
              </w:rPr>
            </w:pPr>
          </w:p>
        </w:tc>
        <w:tc>
          <w:tcPr>
            <w:tcW w:w="4120" w:type="dxa"/>
            <w:vAlign w:val="bottom"/>
            <w:gridSpan w:val="3"/>
          </w:tcPr>
          <w:p>
            <w:pPr>
              <w:ind w:left="1960"/>
              <w:spacing w:after="0"/>
              <w:rPr>
                <w:sz w:val="20"/>
                <w:szCs w:val="20"/>
                <w:color w:val="auto"/>
              </w:rPr>
            </w:pPr>
            <w:r>
              <w:rPr>
                <w:rFonts w:ascii="Times New Roman" w:cs="Times New Roman" w:eastAsia="Times New Roman" w:hAnsi="Times New Roman"/>
                <w:sz w:val="18"/>
                <w:szCs w:val="18"/>
                <w:color w:val="auto"/>
              </w:rPr>
              <w:t>Name: Andy Ching-An Jin</w:t>
            </w:r>
          </w:p>
        </w:tc>
      </w:tr>
      <w:tr>
        <w:trPr>
          <w:trHeight w:val="234"/>
        </w:trPr>
        <w:tc>
          <w:tcPr>
            <w:tcW w:w="3660" w:type="dxa"/>
            <w:vAlign w:val="bottom"/>
          </w:tcPr>
          <w:p>
            <w:pPr>
              <w:spacing w:after="0"/>
              <w:rPr>
                <w:sz w:val="20"/>
                <w:szCs w:val="20"/>
                <w:color w:val="auto"/>
              </w:rPr>
            </w:pPr>
          </w:p>
        </w:tc>
        <w:tc>
          <w:tcPr>
            <w:tcW w:w="4120" w:type="dxa"/>
            <w:vAlign w:val="bottom"/>
            <w:gridSpan w:val="3"/>
          </w:tcPr>
          <w:p>
            <w:pPr>
              <w:ind w:left="1960"/>
              <w:spacing w:after="0"/>
              <w:rPr>
                <w:sz w:val="20"/>
                <w:szCs w:val="20"/>
                <w:color w:val="auto"/>
              </w:rPr>
            </w:pPr>
            <w:r>
              <w:rPr>
                <w:rFonts w:ascii="Times New Roman" w:cs="Times New Roman" w:eastAsia="Times New Roman" w:hAnsi="Times New Roman"/>
                <w:sz w:val="18"/>
                <w:szCs w:val="18"/>
                <w:color w:val="auto"/>
                <w:w w:val="98"/>
              </w:rPr>
              <w:t>Title: Chief Executive Officer</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center"/>
        <w:ind w:right="-33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sectPr>
      <w:pgSz w:w="11900" w:h="16838" w:orient="portrait"/>
      <w:cols w:equalWidth="0" w:num="1">
        <w:col w:w="10920"/>
      </w:cols>
      <w:pgMar w:left="320" w:top="792" w:right="65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2025-01-21T15:43:56Z</dcterms:created>
  <dcterms:modified xsi:type="dcterms:W3CDTF">2025-01-21T15:43:56Z</dcterms:modified>
</cp:coreProperties>
</file>