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b w:val="1"/>
          <w:bCs w:val="1"/>
          <w:color w:val="auto"/>
        </w:rPr>
        <w:t>FORM 12b-25</w:t>
      </w:r>
    </w:p>
    <w:p>
      <w:pPr>
        <w:spacing w:after="0" w:line="225" w:lineRule="exact"/>
        <w:rPr>
          <w:sz w:val="24"/>
          <w:szCs w:val="24"/>
          <w:color w:val="auto"/>
        </w:rPr>
      </w:pPr>
    </w:p>
    <w:p>
      <w:pPr>
        <w:ind w:left="4200"/>
        <w:spacing w:after="0"/>
        <w:rPr>
          <w:sz w:val="20"/>
          <w:szCs w:val="20"/>
          <w:color w:val="auto"/>
        </w:rPr>
      </w:pPr>
      <w:r>
        <w:rPr>
          <w:rFonts w:ascii="Times New Roman" w:cs="Times New Roman" w:eastAsia="Times New Roman" w:hAnsi="Times New Roman"/>
          <w:sz w:val="18"/>
          <w:szCs w:val="18"/>
          <w:b w:val="1"/>
          <w:bCs w:val="1"/>
          <w:color w:val="auto"/>
        </w:rPr>
        <w:t>NOTIFICATION OF LATE FILING</w:t>
      </w:r>
    </w:p>
    <w:p>
      <w:pPr>
        <w:spacing w:after="0" w:line="188" w:lineRule="exact"/>
        <w:rPr>
          <w:sz w:val="24"/>
          <w:szCs w:val="24"/>
          <w:color w:val="auto"/>
        </w:rPr>
      </w:pPr>
    </w:p>
    <w:p>
      <w:pPr>
        <w:spacing w:after="0" w:line="207" w:lineRule="exact"/>
        <w:rPr>
          <w:sz w:val="20"/>
          <w:szCs w:val="20"/>
          <w:color w:val="auto"/>
        </w:rPr>
      </w:pPr>
      <w:r>
        <w:rPr>
          <w:rFonts w:ascii="Times New Roman" w:cs="Times New Roman" w:eastAsia="Times New Roman" w:hAnsi="Times New Roman"/>
          <w:sz w:val="18"/>
          <w:szCs w:val="18"/>
          <w:i w:val="1"/>
          <w:iCs w:val="1"/>
          <w:color w:val="auto"/>
        </w:rPr>
        <w:t xml:space="preserve">(Check one):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10-K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20-F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11-K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10-Q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10-D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N-CEN   </w:t>
      </w:r>
      <w:r>
        <w:rPr>
          <w:rFonts w:ascii="MS PGothic" w:cs="MS PGothic" w:eastAsia="MS PGothic" w:hAnsi="MS PGothic"/>
          <w:sz w:val="18"/>
          <w:szCs w:val="18"/>
          <w:color w:val="auto"/>
        </w:rPr>
        <w:t>☐</w:t>
      </w:r>
      <w:r>
        <w:rPr>
          <w:rFonts w:ascii="Times New Roman" w:cs="Times New Roman" w:eastAsia="Times New Roman" w:hAnsi="Times New Roman"/>
          <w:sz w:val="18"/>
          <w:szCs w:val="18"/>
          <w:i w:val="1"/>
          <w:iCs w:val="1"/>
          <w:color w:val="auto"/>
        </w:rPr>
        <w:t xml:space="preserve"> </w:t>
      </w:r>
      <w:r>
        <w:rPr>
          <w:rFonts w:ascii="Times New Roman" w:cs="Times New Roman" w:eastAsia="Times New Roman" w:hAnsi="Times New Roman"/>
          <w:sz w:val="18"/>
          <w:szCs w:val="18"/>
          <w:color w:val="auto"/>
        </w:rPr>
        <w:t>Form N-CSR</w:t>
      </w:r>
    </w:p>
    <w:p>
      <w:pPr>
        <w:spacing w:after="0" w:line="262" w:lineRule="exact"/>
        <w:rPr>
          <w:sz w:val="24"/>
          <w:szCs w:val="24"/>
          <w:color w:val="auto"/>
        </w:rPr>
      </w:pPr>
    </w:p>
    <w:p>
      <w:pPr>
        <w:ind w:left="1080"/>
        <w:spacing w:after="0"/>
        <w:rPr>
          <w:sz w:val="20"/>
          <w:szCs w:val="20"/>
          <w:color w:val="auto"/>
        </w:rPr>
      </w:pPr>
      <w:r>
        <w:rPr>
          <w:rFonts w:ascii="Times New Roman" w:cs="Times New Roman" w:eastAsia="Times New Roman" w:hAnsi="Times New Roman"/>
          <w:sz w:val="18"/>
          <w:szCs w:val="18"/>
          <w:color w:val="auto"/>
        </w:rPr>
        <w:t xml:space="preserve">For Period Ended: </w:t>
      </w:r>
      <w:r>
        <w:rPr>
          <w:rFonts w:ascii="Times New Roman" w:cs="Times New Roman" w:eastAsia="Times New Roman" w:hAnsi="Times New Roman"/>
          <w:sz w:val="18"/>
          <w:szCs w:val="18"/>
          <w:b w:val="1"/>
          <w:bCs w:val="1"/>
          <w:color w:val="auto"/>
        </w:rPr>
        <w:t>December 31, 2025</w:t>
      </w:r>
    </w:p>
    <w:p>
      <w:pPr>
        <w:spacing w:after="0" w:line="26" w:lineRule="exact"/>
        <w:rPr>
          <w:sz w:val="24"/>
          <w:szCs w:val="24"/>
          <w:color w:val="auto"/>
        </w:rPr>
      </w:pPr>
    </w:p>
    <w:p>
      <w:pPr>
        <w:ind w:left="1300" w:hanging="212"/>
        <w:spacing w:after="0"/>
        <w:tabs>
          <w:tab w:leader="none" w:pos="130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Transition Report on Form 10-K</w:t>
      </w:r>
    </w:p>
    <w:p>
      <w:pPr>
        <w:spacing w:after="0" w:line="15" w:lineRule="exact"/>
        <w:rPr>
          <w:rFonts w:ascii="MS PGothic" w:cs="MS PGothic" w:eastAsia="MS PGothic" w:hAnsi="MS PGothic"/>
          <w:sz w:val="18"/>
          <w:szCs w:val="18"/>
          <w:color w:val="auto"/>
        </w:rPr>
      </w:pPr>
    </w:p>
    <w:p>
      <w:pPr>
        <w:ind w:left="1300" w:hanging="212"/>
        <w:spacing w:after="0"/>
        <w:tabs>
          <w:tab w:leader="none" w:pos="130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Transition Report on Form 20-F</w:t>
      </w:r>
    </w:p>
    <w:p>
      <w:pPr>
        <w:spacing w:after="0" w:line="9" w:lineRule="exact"/>
        <w:rPr>
          <w:rFonts w:ascii="MS PGothic" w:cs="MS PGothic" w:eastAsia="MS PGothic" w:hAnsi="MS PGothic"/>
          <w:sz w:val="18"/>
          <w:szCs w:val="18"/>
          <w:color w:val="auto"/>
        </w:rPr>
      </w:pPr>
    </w:p>
    <w:p>
      <w:pPr>
        <w:ind w:left="1300" w:hanging="212"/>
        <w:spacing w:after="0"/>
        <w:tabs>
          <w:tab w:leader="none" w:pos="130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Transition Report on Form 11-K</w:t>
      </w:r>
    </w:p>
    <w:p>
      <w:pPr>
        <w:spacing w:after="0" w:line="9" w:lineRule="exact"/>
        <w:rPr>
          <w:rFonts w:ascii="MS PGothic" w:cs="MS PGothic" w:eastAsia="MS PGothic" w:hAnsi="MS PGothic"/>
          <w:sz w:val="18"/>
          <w:szCs w:val="18"/>
          <w:color w:val="auto"/>
        </w:rPr>
      </w:pPr>
    </w:p>
    <w:p>
      <w:pPr>
        <w:ind w:left="1080" w:right="6339" w:firstLine="8"/>
        <w:spacing w:after="0" w:line="288" w:lineRule="auto"/>
        <w:tabs>
          <w:tab w:leader="none" w:pos="1284" w:val="left"/>
        </w:tabs>
        <w:numPr>
          <w:ilvl w:val="0"/>
          <w:numId w:val="1"/>
        </w:numPr>
        <w:rPr>
          <w:rFonts w:ascii="MS PGothic" w:cs="MS PGothic" w:eastAsia="MS PGothic" w:hAnsi="MS PGothic"/>
          <w:sz w:val="17"/>
          <w:szCs w:val="17"/>
          <w:color w:val="auto"/>
        </w:rPr>
      </w:pPr>
      <w:r>
        <w:rPr>
          <w:rFonts w:ascii="Times New Roman" w:cs="Times New Roman" w:eastAsia="Times New Roman" w:hAnsi="Times New Roman"/>
          <w:sz w:val="17"/>
          <w:szCs w:val="17"/>
          <w:color w:val="auto"/>
        </w:rPr>
        <w:t>Transition Report on Form 10-Q For the Transition Period Ended: N/A</w:t>
      </w:r>
    </w:p>
    <w:p>
      <w:pPr>
        <w:spacing w:after="0" w:line="15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i w:val="1"/>
          <w:iCs w:val="1"/>
          <w:color w:val="auto"/>
        </w:rPr>
        <w:t>Read Instruction (on back page) Before Preparing Form. Please Print or Type.</w:t>
      </w:r>
    </w:p>
    <w:p>
      <w:pPr>
        <w:spacing w:after="0" w:line="2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7"/>
          <w:szCs w:val="17"/>
          <w:b w:val="1"/>
          <w:bCs w:val="1"/>
          <w:color w:val="auto"/>
        </w:rPr>
        <w:t>Nothing in this form shall be construed to imply that the Commission has verified any information contained herein.</w:t>
      </w:r>
    </w:p>
    <w:p>
      <w:pPr>
        <w:spacing w:after="0" w:line="218"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If the notification relates to a portion of the filing checked above, identify the Item(s) to which the notification relates:</w:t>
      </w:r>
    </w:p>
    <w:p>
      <w:pPr>
        <w:spacing w:after="0" w:line="2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18"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PART I — REGISTRANT INFORMATION</w:t>
      </w:r>
    </w:p>
    <w:p>
      <w:pPr>
        <w:spacing w:after="0" w:line="229"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Nocera,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188595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Full Name of Registrant</w:t>
      </w:r>
    </w:p>
    <w:p>
      <w:pPr>
        <w:spacing w:after="0" w:line="225"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2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Former Name if Applicable</w:t>
      </w:r>
    </w:p>
    <w:p>
      <w:pPr>
        <w:spacing w:after="0" w:line="225"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3F (Building B), No. 185, Sec. 1, Datong Rd., Xizhi Dist.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2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Address of Principal Executive Office (Street and Number)</w:t>
      </w:r>
    </w:p>
    <w:p>
      <w:pPr>
        <w:spacing w:after="0" w:line="225"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New Taipei City Taiwan 221, ROC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51435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38"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City, State and Zip Code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634365</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225" w:right="1440"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PART II — RULES 12b-25(b) AND (c)</w:t>
      </w:r>
    </w:p>
    <w:p>
      <w:pPr>
        <w:spacing w:after="0" w:line="229" w:lineRule="exact"/>
        <w:rPr>
          <w:sz w:val="20"/>
          <w:szCs w:val="20"/>
          <w:color w:val="auto"/>
        </w:rPr>
      </w:pPr>
    </w:p>
    <w:p>
      <w:pPr>
        <w:ind w:right="460"/>
        <w:spacing w:after="0" w:line="282" w:lineRule="auto"/>
        <w:rPr>
          <w:sz w:val="20"/>
          <w:szCs w:val="20"/>
          <w:color w:val="auto"/>
        </w:rPr>
      </w:pPr>
      <w:r>
        <w:rPr>
          <w:rFonts w:ascii="Times New Roman" w:cs="Times New Roman" w:eastAsia="Times New Roman" w:hAnsi="Times New Roman"/>
          <w:sz w:val="18"/>
          <w:szCs w:val="18"/>
          <w:color w:val="auto"/>
        </w:rPr>
        <w:t>If the subject report could not be filed without unreasonable effort or expense and the registrant seeks relief pursuant to Rule 12b-25(b), the following should be completed. (Check box if appropriate)</w:t>
      </w:r>
    </w:p>
    <w:p>
      <w:pPr>
        <w:spacing w:after="0" w:line="162" w:lineRule="exact"/>
        <w:rPr>
          <w:sz w:val="20"/>
          <w:szCs w:val="20"/>
          <w:color w:val="auto"/>
        </w:rPr>
      </w:pPr>
    </w:p>
    <w:p>
      <w:pPr>
        <w:ind w:left="920" w:hanging="575"/>
        <w:spacing w:after="0"/>
        <w:tabs>
          <w:tab w:leader="none" w:pos="920" w:val="left"/>
        </w:tabs>
        <w:numPr>
          <w:ilvl w:val="1"/>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reason described in reasonable detail in Part III of this form could not be eliminated without unreasonable effort or expense;</w:t>
      </w:r>
    </w:p>
    <w:p>
      <w:pPr>
        <w:spacing w:after="0" w:line="27" w:lineRule="exact"/>
        <w:rPr>
          <w:rFonts w:ascii="Times New Roman" w:cs="Times New Roman" w:eastAsia="Times New Roman" w:hAnsi="Times New Roman"/>
          <w:sz w:val="18"/>
          <w:szCs w:val="18"/>
          <w:color w:val="auto"/>
        </w:rPr>
      </w:pPr>
    </w:p>
    <w:p>
      <w:pPr>
        <w:ind w:left="920" w:right="120" w:hanging="824"/>
        <w:spacing w:after="0" w:line="250" w:lineRule="auto"/>
        <w:tabs>
          <w:tab w:leader="none" w:pos="353" w:val="left"/>
        </w:tabs>
        <w:numPr>
          <w:ilvl w:val="0"/>
          <w:numId w:val="2"/>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(b)The subject annual report, semi-annual report, transition report on Form 10-K, Form 20-F, Form 11-K, Form N-CEN or Form N-CSR, or portion thereof, will be filed on or before the fifteenth calendar day following the prescribed due date; or the subject quarterly report or transition report on Form 10-Q or subject distribution report on Form 10-D, or portion thereof, will be filed on or before the fifth calendar day following the prescribed due date; and</w:t>
      </w:r>
    </w:p>
    <w:p>
      <w:pPr>
        <w:spacing w:after="0" w:line="1" w:lineRule="exact"/>
        <w:rPr>
          <w:rFonts w:ascii="MS PGothic" w:cs="MS PGothic" w:eastAsia="MS PGothic" w:hAnsi="MS PGothic"/>
          <w:sz w:val="18"/>
          <w:szCs w:val="18"/>
          <w:color w:val="auto"/>
        </w:rPr>
      </w:pPr>
    </w:p>
    <w:p>
      <w:pPr>
        <w:ind w:left="920" w:hanging="575"/>
        <w:spacing w:after="0"/>
        <w:tabs>
          <w:tab w:leader="none" w:pos="920" w:val="left"/>
        </w:tabs>
        <w:numPr>
          <w:ilvl w:val="1"/>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accountant’s statement or other exhibit required by Rule 12b-25(c) has been attached if applicable.</w:t>
      </w:r>
    </w:p>
    <w:p>
      <w:pPr>
        <w:spacing w:after="0" w:line="207" w:lineRule="exact"/>
        <w:rPr>
          <w:sz w:val="20"/>
          <w:szCs w:val="20"/>
          <w:color w:val="auto"/>
        </w:rPr>
      </w:pPr>
    </w:p>
    <w:p>
      <w:pPr>
        <w:ind w:right="100"/>
        <w:spacing w:after="0" w:line="282" w:lineRule="auto"/>
        <w:rPr>
          <w:sz w:val="20"/>
          <w:szCs w:val="20"/>
          <w:color w:val="auto"/>
        </w:rPr>
      </w:pPr>
      <w:r>
        <w:rPr>
          <w:rFonts w:ascii="Times New Roman" w:cs="Times New Roman" w:eastAsia="Times New Roman" w:hAnsi="Times New Roman"/>
          <w:sz w:val="18"/>
          <w:szCs w:val="18"/>
          <w:color w:val="auto"/>
        </w:rPr>
        <w:t>SEC1344Potential persons who are to respond to the collection of information contained in this Form are not required to respond unless the Form displays (06-19) a currently valid OMB control number.</w:t>
      </w:r>
    </w:p>
    <w:p>
      <w:pPr>
        <w:spacing w:after="0" w:line="3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PART III — NARRATIVE</w:t>
      </w:r>
    </w:p>
    <w:p>
      <w:pPr>
        <w:spacing w:after="0" w:line="229" w:lineRule="exact"/>
        <w:rPr>
          <w:sz w:val="20"/>
          <w:szCs w:val="20"/>
          <w:color w:val="auto"/>
        </w:rPr>
      </w:pPr>
    </w:p>
    <w:p>
      <w:pPr>
        <w:ind w:right="260"/>
        <w:spacing w:after="0" w:line="282" w:lineRule="auto"/>
        <w:rPr>
          <w:sz w:val="20"/>
          <w:szCs w:val="20"/>
          <w:color w:val="auto"/>
        </w:rPr>
      </w:pPr>
      <w:r>
        <w:rPr>
          <w:rFonts w:ascii="Times New Roman" w:cs="Times New Roman" w:eastAsia="Times New Roman" w:hAnsi="Times New Roman"/>
          <w:sz w:val="18"/>
          <w:szCs w:val="18"/>
          <w:color w:val="auto"/>
        </w:rPr>
        <w:t>State below in reasonable detail why Forms 10-K, 20-F, 11-K, 10-Q, 10-D, N-CEN, N-CSR, or the transition report or portion thereof, could not be filed within the prescribed time period.</w:t>
      </w:r>
    </w:p>
    <w:p>
      <w:pPr>
        <w:spacing w:after="0" w:line="162"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Registrant could not complete the filing of its Annual Report on Form 10-K for the fiscal year ended December 31, 2025 (the “Form 10-K”) due to a delay in obtaining and compiling information required to be included in the Form 10-K, which delay could not be eliminated by the Registrant without unreasonable effort and expense. In accordance with Rule 12b-25 of the Securities Exchange Act of 1934, as amended, the Registrant will file the Form 10-K no later than the fifteenth calendar day following the prescribed due date.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PART IV — OTHER INFORMATION</w:t>
      </w:r>
    </w:p>
    <w:p>
      <w:pPr>
        <w:spacing w:after="0" w:line="229" w:lineRule="exact"/>
        <w:rPr>
          <w:sz w:val="20"/>
          <w:szCs w:val="20"/>
          <w:color w:val="auto"/>
        </w:rPr>
      </w:pPr>
    </w:p>
    <w:p>
      <w:pPr>
        <w:ind w:left="580" w:hanging="572"/>
        <w:spacing w:after="0"/>
        <w:tabs>
          <w:tab w:leader="none" w:pos="58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Name and telephone number of person to contact in regard to this notification</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00" w:type="dxa"/>
            <w:vAlign w:val="bottom"/>
            <w:gridSpan w:val="2"/>
          </w:tcPr>
          <w:p>
            <w:pPr>
              <w:jc w:val="center"/>
              <w:ind w:right="140"/>
              <w:spacing w:after="0"/>
              <w:rPr>
                <w:sz w:val="20"/>
                <w:szCs w:val="20"/>
                <w:color w:val="auto"/>
              </w:rPr>
            </w:pPr>
            <w:r>
              <w:rPr>
                <w:rFonts w:ascii="Times New Roman" w:cs="Times New Roman" w:eastAsia="Times New Roman" w:hAnsi="Times New Roman"/>
                <w:sz w:val="18"/>
                <w:szCs w:val="18"/>
                <w:color w:val="auto"/>
                <w:w w:val="99"/>
              </w:rPr>
              <w:t>Andy Ching-An Jin</w:t>
            </w:r>
          </w:p>
        </w:tc>
        <w:tc>
          <w:tcPr>
            <w:tcW w:w="2580" w:type="dxa"/>
            <w:vAlign w:val="bottom"/>
          </w:tcPr>
          <w:p>
            <w:pPr>
              <w:jc w:val="right"/>
              <w:ind w:right="1010"/>
              <w:spacing w:after="0"/>
              <w:rPr>
                <w:sz w:val="20"/>
                <w:szCs w:val="20"/>
                <w:color w:val="auto"/>
              </w:rPr>
            </w:pPr>
            <w:r>
              <w:rPr>
                <w:rFonts w:ascii="Times New Roman" w:cs="Times New Roman" w:eastAsia="Times New Roman" w:hAnsi="Times New Roman"/>
                <w:sz w:val="18"/>
                <w:szCs w:val="18"/>
                <w:color w:val="auto"/>
              </w:rPr>
              <w:t>(886)</w:t>
            </w:r>
          </w:p>
        </w:tc>
        <w:tc>
          <w:tcPr>
            <w:tcW w:w="140" w:type="dxa"/>
            <w:vAlign w:val="bottom"/>
          </w:tcPr>
          <w:p>
            <w:pPr>
              <w:spacing w:after="0"/>
              <w:rPr>
                <w:sz w:val="20"/>
                <w:szCs w:val="20"/>
                <w:color w:val="auto"/>
              </w:rPr>
            </w:pPr>
          </w:p>
        </w:tc>
        <w:tc>
          <w:tcPr>
            <w:tcW w:w="4320" w:type="dxa"/>
            <w:vAlign w:val="bottom"/>
          </w:tcPr>
          <w:p>
            <w:pPr>
              <w:jc w:val="right"/>
              <w:ind w:right="1610"/>
              <w:spacing w:after="0"/>
              <w:rPr>
                <w:sz w:val="20"/>
                <w:szCs w:val="20"/>
                <w:color w:val="auto"/>
              </w:rPr>
            </w:pPr>
            <w:r>
              <w:rPr>
                <w:rFonts w:ascii="Times New Roman" w:cs="Times New Roman" w:eastAsia="Times New Roman" w:hAnsi="Times New Roman"/>
                <w:sz w:val="18"/>
                <w:szCs w:val="18"/>
                <w:color w:val="auto"/>
              </w:rPr>
              <w:t>910-163-358</w:t>
            </w:r>
          </w:p>
        </w:tc>
      </w:tr>
      <w:tr>
        <w:trPr>
          <w:trHeight w:val="228"/>
        </w:trPr>
        <w:tc>
          <w:tcPr>
            <w:tcW w:w="40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w w:val="98"/>
              </w:rPr>
              <w:t>(Name)</w:t>
            </w:r>
          </w:p>
        </w:tc>
        <w:tc>
          <w:tcPr>
            <w:tcW w:w="140" w:type="dxa"/>
            <w:vAlign w:val="bottom"/>
          </w:tcPr>
          <w:p>
            <w:pPr>
              <w:spacing w:after="0"/>
              <w:rPr>
                <w:sz w:val="19"/>
                <w:szCs w:val="19"/>
                <w:color w:val="auto"/>
              </w:rPr>
            </w:pPr>
          </w:p>
        </w:tc>
        <w:tc>
          <w:tcPr>
            <w:tcW w:w="258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(Area Code)</w:t>
            </w:r>
          </w:p>
        </w:tc>
        <w:tc>
          <w:tcPr>
            <w:tcW w:w="140" w:type="dxa"/>
            <w:vAlign w:val="bottom"/>
          </w:tcPr>
          <w:p>
            <w:pPr>
              <w:spacing w:after="0"/>
              <w:rPr>
                <w:sz w:val="19"/>
                <w:szCs w:val="19"/>
                <w:color w:val="auto"/>
              </w:rPr>
            </w:pPr>
          </w:p>
        </w:tc>
        <w:tc>
          <w:tcPr>
            <w:tcW w:w="432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8"/>
                <w:szCs w:val="18"/>
                <w:color w:val="auto"/>
              </w:rPr>
              <w:t>(Telephone Number)</w:t>
            </w:r>
          </w:p>
        </w:tc>
      </w:tr>
    </w:tbl>
    <w:p>
      <w:pPr>
        <w:spacing w:after="0" w:line="179" w:lineRule="exact"/>
        <w:rPr>
          <w:sz w:val="20"/>
          <w:szCs w:val="20"/>
          <w:color w:val="auto"/>
        </w:rPr>
      </w:pPr>
    </w:p>
    <w:p>
      <w:pPr>
        <w:ind w:left="580" w:hanging="572"/>
        <w:spacing w:after="0" w:line="266" w:lineRule="auto"/>
        <w:tabs>
          <w:tab w:leader="none" w:pos="58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Have all other periodic reports required under Section 13 or 15(d) of the Securities Exchange Act of 1934 or Section 30 of the Investment Company Act of 1940 during the preceding 12 months or for such shorter period that the registrant was required to file such report(s) been filed? If answer is no, identify report(s).</w:t>
      </w:r>
    </w:p>
    <w:p>
      <w:pPr>
        <w:spacing w:after="0" w:line="135" w:lineRule="exact"/>
        <w:rPr>
          <w:sz w:val="20"/>
          <w:szCs w:val="20"/>
          <w:color w:val="auto"/>
        </w:rPr>
      </w:pPr>
    </w:p>
    <w:p>
      <w:pPr>
        <w:ind w:left="10300"/>
        <w:spacing w:after="0" w:line="184" w:lineRule="exact"/>
        <w:rPr>
          <w:sz w:val="20"/>
          <w:szCs w:val="20"/>
          <w:color w:val="auto"/>
        </w:rPr>
      </w:pPr>
      <w:r>
        <w:rPr>
          <w:rFonts w:ascii="Times New Roman" w:cs="Times New Roman" w:eastAsia="Times New Roman" w:hAnsi="Times New Roman"/>
          <w:sz w:val="16"/>
          <w:szCs w:val="16"/>
          <w:color w:val="auto"/>
        </w:rPr>
        <w:t xml:space="preserve">Yes </w:t>
      </w:r>
      <w:r>
        <w:rPr>
          <w:rFonts w:ascii="MS PGothic" w:cs="MS PGothic" w:eastAsia="MS PGothic" w:hAnsi="MS PGothic"/>
          <w:sz w:val="16"/>
          <w:szCs w:val="16"/>
          <w:color w:val="auto"/>
        </w:rPr>
        <w:t>☒</w:t>
      </w:r>
      <w:r>
        <w:rPr>
          <w:rFonts w:ascii="Times New Roman" w:cs="Times New Roman" w:eastAsia="Times New Roman" w:hAnsi="Times New Roman"/>
          <w:sz w:val="16"/>
          <w:szCs w:val="16"/>
          <w:color w:val="auto"/>
        </w:rPr>
        <w:t xml:space="preserve">  No </w:t>
      </w:r>
      <w:r>
        <w:rPr>
          <w:rFonts w:ascii="MS PGothic" w:cs="MS PGothic" w:eastAsia="MS PGothic" w:hAnsi="MS PGothic"/>
          <w:sz w:val="16"/>
          <w:szCs w:val="16"/>
          <w:color w:val="auto"/>
        </w:rPr>
        <w:t>☐</w:t>
      </w:r>
    </w:p>
    <w:p>
      <w:pPr>
        <w:spacing w:after="0" w:line="289" w:lineRule="exact"/>
        <w:rPr>
          <w:sz w:val="20"/>
          <w:szCs w:val="20"/>
          <w:color w:val="auto"/>
        </w:rPr>
      </w:pPr>
    </w:p>
    <w:p>
      <w:pPr>
        <w:ind w:left="580" w:right="380" w:hanging="572"/>
        <w:spacing w:after="0" w:line="282" w:lineRule="auto"/>
        <w:tabs>
          <w:tab w:leader="none" w:pos="58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Is it anticipated that any significant change in results of operations from the corresponding period for the last fiscal year will be reflected by the earnings statements to be included in the subject report or portion thereof?</w:t>
      </w:r>
    </w:p>
    <w:p>
      <w:pPr>
        <w:spacing w:after="0" w:line="121" w:lineRule="exact"/>
        <w:rPr>
          <w:sz w:val="20"/>
          <w:szCs w:val="20"/>
          <w:color w:val="auto"/>
        </w:rPr>
      </w:pPr>
    </w:p>
    <w:p>
      <w:pPr>
        <w:ind w:left="10300"/>
        <w:spacing w:after="0" w:line="184" w:lineRule="exact"/>
        <w:rPr>
          <w:sz w:val="20"/>
          <w:szCs w:val="20"/>
          <w:color w:val="auto"/>
        </w:rPr>
      </w:pPr>
      <w:r>
        <w:rPr>
          <w:rFonts w:ascii="Times New Roman" w:cs="Times New Roman" w:eastAsia="Times New Roman" w:hAnsi="Times New Roman"/>
          <w:sz w:val="16"/>
          <w:szCs w:val="16"/>
          <w:color w:val="auto"/>
        </w:rPr>
        <w:t xml:space="preserve">Yes </w:t>
      </w:r>
      <w:r>
        <w:rPr>
          <w:rFonts w:ascii="MS PGothic" w:cs="MS PGothic" w:eastAsia="MS PGothic" w:hAnsi="MS PGothic"/>
          <w:sz w:val="16"/>
          <w:szCs w:val="16"/>
          <w:color w:val="auto"/>
        </w:rPr>
        <w:t>☐</w:t>
      </w:r>
      <w:r>
        <w:rPr>
          <w:rFonts w:ascii="Times New Roman" w:cs="Times New Roman" w:eastAsia="Times New Roman" w:hAnsi="Times New Roman"/>
          <w:sz w:val="16"/>
          <w:szCs w:val="16"/>
          <w:color w:val="auto"/>
        </w:rPr>
        <w:t xml:space="preserve">  No </w:t>
      </w:r>
      <w:r>
        <w:rPr>
          <w:rFonts w:ascii="MS PGothic" w:cs="MS PGothic" w:eastAsia="MS PGothic" w:hAnsi="MS PGothic"/>
          <w:sz w:val="16"/>
          <w:szCs w:val="16"/>
          <w:color w:val="auto"/>
        </w:rPr>
        <w:t>☒</w:t>
      </w:r>
    </w:p>
    <w:p>
      <w:pPr>
        <w:spacing w:after="0" w:line="289" w:lineRule="exact"/>
        <w:rPr>
          <w:sz w:val="20"/>
          <w:szCs w:val="20"/>
          <w:color w:val="auto"/>
        </w:rPr>
      </w:pPr>
    </w:p>
    <w:p>
      <w:pPr>
        <w:ind w:left="360" w:right="540"/>
        <w:spacing w:after="0" w:line="282" w:lineRule="auto"/>
        <w:rPr>
          <w:sz w:val="20"/>
          <w:szCs w:val="20"/>
          <w:color w:val="auto"/>
        </w:rPr>
      </w:pPr>
      <w:r>
        <w:rPr>
          <w:rFonts w:ascii="Times New Roman" w:cs="Times New Roman" w:eastAsia="Times New Roman" w:hAnsi="Times New Roman"/>
          <w:sz w:val="18"/>
          <w:szCs w:val="18"/>
          <w:color w:val="auto"/>
        </w:rPr>
        <w:t>If so, attach an explanation of the anticipated change, both narratively and quantitatively, and, if appropriate, state the reasons why a reasonable estimate of the results cannot be made.</w:t>
      </w:r>
    </w:p>
    <w:p>
      <w:pPr>
        <w:spacing w:after="0" w:line="200" w:lineRule="exact"/>
        <w:rPr>
          <w:sz w:val="20"/>
          <w:szCs w:val="20"/>
          <w:color w:val="auto"/>
        </w:rPr>
      </w:pPr>
    </w:p>
    <w:p>
      <w:pPr>
        <w:spacing w:after="0" w:line="2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ind w:right="-79"/>
        <w:spacing w:after="0"/>
        <w:rPr>
          <w:sz w:val="20"/>
          <w:szCs w:val="20"/>
          <w:color w:val="auto"/>
        </w:rPr>
      </w:pPr>
      <w:r>
        <w:rPr>
          <w:rFonts w:ascii="Times New Roman" w:cs="Times New Roman" w:eastAsia="Times New Roman" w:hAnsi="Times New Roman"/>
          <w:sz w:val="18"/>
          <w:szCs w:val="18"/>
          <w:color w:val="auto"/>
        </w:rPr>
        <w:t>Nocera, Inc.</w:t>
      </w:r>
    </w:p>
    <w:p>
      <w:pPr>
        <w:spacing w:after="0" w:line="225" w:lineRule="exact"/>
        <w:rPr>
          <w:sz w:val="20"/>
          <w:szCs w:val="20"/>
          <w:color w:val="auto"/>
        </w:rPr>
      </w:pPr>
    </w:p>
    <w:p>
      <w:pPr>
        <w:ind w:left="4020"/>
        <w:spacing w:after="0"/>
        <w:rPr>
          <w:sz w:val="20"/>
          <w:szCs w:val="20"/>
          <w:color w:val="auto"/>
        </w:rPr>
      </w:pPr>
      <w:r>
        <w:rPr>
          <w:rFonts w:ascii="Times New Roman" w:cs="Times New Roman" w:eastAsia="Times New Roman" w:hAnsi="Times New Roman"/>
          <w:sz w:val="18"/>
          <w:szCs w:val="18"/>
          <w:color w:val="auto"/>
        </w:rPr>
        <w:t>(Name of Registrant as Specified in Charter)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has caused this notification to be signed on its behalf by the undersigned hereunto duly authorized.</w:t>
      </w:r>
    </w:p>
    <w:p>
      <w:pPr>
        <w:spacing w:after="0" w:line="223" w:lineRule="exact"/>
        <w:rPr>
          <w:sz w:val="20"/>
          <w:szCs w:val="20"/>
          <w:color w:val="auto"/>
        </w:rPr>
      </w:pPr>
    </w:p>
    <w:p>
      <w:pPr>
        <w:spacing w:after="0"/>
        <w:tabs>
          <w:tab w:leader="none" w:pos="5420" w:val="left"/>
        </w:tabs>
        <w:rPr>
          <w:sz w:val="20"/>
          <w:szCs w:val="20"/>
          <w:color w:val="auto"/>
        </w:rPr>
      </w:pPr>
      <w:r>
        <w:rPr>
          <w:rFonts w:ascii="Times New Roman" w:cs="Times New Roman" w:eastAsia="Times New Roman" w:hAnsi="Times New Roman"/>
          <w:sz w:val="18"/>
          <w:szCs w:val="18"/>
          <w:color w:val="auto"/>
        </w:rPr>
        <w:t xml:space="preserve">Date </w:t>
      </w:r>
      <w:r>
        <w:rPr>
          <w:rFonts w:ascii="Times New Roman" w:cs="Times New Roman" w:eastAsia="Times New Roman" w:hAnsi="Times New Roman"/>
          <w:sz w:val="18"/>
          <w:szCs w:val="18"/>
          <w:u w:val="single" w:color="auto"/>
          <w:color w:val="auto"/>
        </w:rPr>
        <w:t>March 30, 2026                              </w:t>
      </w:r>
      <w:r>
        <w:rPr>
          <w:rFonts w:ascii="Times New Roman" w:cs="Times New Roman" w:eastAsia="Times New Roman" w:hAnsi="Times New Roman"/>
          <w:sz w:val="18"/>
          <w:szCs w:val="18"/>
          <w:color w:val="auto"/>
        </w:rPr>
        <w:t> </w:t>
      </w:r>
      <w:r>
        <w:rPr>
          <w:sz w:val="20"/>
          <w:szCs w:val="20"/>
          <w:color w:val="auto"/>
        </w:rPr>
        <w:tab/>
      </w:r>
      <w:r>
        <w:rPr>
          <w:rFonts w:ascii="Times New Roman" w:cs="Times New Roman" w:eastAsia="Times New Roman" w:hAnsi="Times New Roman"/>
          <w:sz w:val="16"/>
          <w:szCs w:val="16"/>
          <w:color w:val="auto"/>
        </w:rPr>
        <w:t xml:space="preserve">By </w:t>
      </w:r>
      <w:r>
        <w:rPr>
          <w:rFonts w:ascii="Times New Roman" w:cs="Times New Roman" w:eastAsia="Times New Roman" w:hAnsi="Times New Roman"/>
          <w:sz w:val="16"/>
          <w:szCs w:val="16"/>
          <w:i w:val="1"/>
          <w:iCs w:val="1"/>
          <w:u w:val="single" w:color="auto"/>
          <w:color w:val="auto"/>
        </w:rPr>
        <w:t>/s/</w:t>
      </w:r>
      <w:r>
        <w:rPr>
          <w:rFonts w:ascii="Times New Roman" w:cs="Times New Roman" w:eastAsia="Times New Roman" w:hAnsi="Times New Roman"/>
          <w:sz w:val="16"/>
          <w:szCs w:val="16"/>
          <w:color w:val="auto"/>
        </w:rPr>
        <w:t xml:space="preserve"> </w:t>
      </w:r>
      <w:r>
        <w:rPr>
          <w:rFonts w:ascii="Times New Roman" w:cs="Times New Roman" w:eastAsia="Times New Roman" w:hAnsi="Times New Roman"/>
          <w:sz w:val="16"/>
          <w:szCs w:val="16"/>
          <w:u w:val="single" w:color="auto"/>
          <w:color w:val="auto"/>
        </w:rPr>
        <w:t>Andy Ching-An Jin                    </w:t>
      </w:r>
      <w:r>
        <w:rPr>
          <w:rFonts w:ascii="Times New Roman" w:cs="Times New Roman" w:eastAsia="Times New Roman" w:hAnsi="Times New Roman"/>
          <w:sz w:val="16"/>
          <w:szCs w:val="16"/>
          <w:color w:val="auto"/>
        </w:rPr>
        <w:t> </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INSTRUCTION: The form may be signed by an executive officer of the registrant or by any other duly authorized representative.</w:t>
      </w:r>
    </w:p>
    <w:p>
      <w:pPr>
        <w:spacing w:after="0" w:line="27" w:lineRule="exact"/>
        <w:rPr>
          <w:sz w:val="20"/>
          <w:szCs w:val="20"/>
          <w:color w:val="auto"/>
        </w:rPr>
      </w:pPr>
    </w:p>
    <w:p>
      <w:pPr>
        <w:spacing w:after="0" w:line="255" w:lineRule="auto"/>
        <w:rPr>
          <w:sz w:val="20"/>
          <w:szCs w:val="20"/>
          <w:color w:val="auto"/>
        </w:rPr>
      </w:pPr>
      <w:r>
        <w:rPr>
          <w:rFonts w:ascii="Times New Roman" w:cs="Times New Roman" w:eastAsia="Times New Roman" w:hAnsi="Times New Roman"/>
          <w:sz w:val="18"/>
          <w:szCs w:val="18"/>
          <w:color w:val="auto"/>
        </w:rPr>
        <w:t>The name and title of the person signing the form shall be typed or printed beneath the signature. If the statement is signed on behalf of the registrant by an authorized representative (other than an executive officer), evidence of the representative’s authority to sign on behalf of the registrant shall be filed with the form.</w:t>
      </w:r>
    </w:p>
    <w:p>
      <w:pPr>
        <w:spacing w:after="0" w:line="186"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color w:val="auto"/>
        </w:rPr>
        <w:t>ATTENTION</w:t>
      </w:r>
    </w:p>
    <w:p>
      <w:pPr>
        <w:spacing w:after="0" w:line="27"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Intentional misstatements or omissions of fact constitute Federal Criminal Violations (See 18 U.S.C. 1001).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ind w:right="-9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180"/>
      </w:cols>
      <w:pgMar w:left="320" w:top="796" w:right="39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lvl w:ilvl="1">
      <w:lvlJc w:val="left"/>
      <w:lvlText w:val="(%2)"/>
      <w:numFmt w:val="lowerLetter"/>
      <w:start w:val="1"/>
    </w:lvl>
  </w:abstractNum>
  <w:abstractNum w:abstractNumId="2">
    <w:nsid w:val="238E1F29"/>
    <w:multiLevelType w:val="hybridMultilevel"/>
    <w:lvl w:ilvl="0">
      <w:lvlJc w:val="left"/>
      <w:lvlText w:val="☒"/>
      <w:numFmt w:val="bullet"/>
      <w:start w:val="1"/>
    </w:lvl>
    <w:lvl w:ilvl="1">
      <w:lvlJc w:val="left"/>
      <w:lvlText w:val="(%2)"/>
      <w:numFmt w:val="lowerLetter"/>
      <w:start w:val="3"/>
    </w:lvl>
  </w:abstractNum>
  <w:abstractNum w:abstractNumId="3">
    <w:nsid w:val="46E87CCD"/>
    <w:multiLevelType w:val="hybridMultilevel"/>
    <w:lvl w:ilvl="0">
      <w:lvlJc w:val="left"/>
      <w:lvlText w:val="(%1)"/>
      <w:numFmt w:val="decimal"/>
      <w:start w:val="1"/>
    </w:lvl>
  </w:abstractNum>
  <w:abstractNum w:abstractNumId="4">
    <w:nsid w:val="3D1B58BA"/>
    <w:multiLevelType w:val="hybridMultilevel"/>
    <w:lvl w:ilvl="0">
      <w:lvlJc w:val="left"/>
      <w:lvlText w:val="(%1)"/>
      <w:numFmt w:val="decimal"/>
      <w:start w:val="2"/>
    </w:lvl>
  </w:abstractNum>
  <w:abstractNum w:abstractNumId="5">
    <w:nsid w:val="507ED7AB"/>
    <w:multiLevelType w:val="hybridMultilevel"/>
    <w:lvl w:ilvl="0">
      <w:lvlJc w:val="left"/>
      <w:lvlText w:val="(%1)"/>
      <w:numFmt w:val="decimal"/>
      <w:start w:val="3"/>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2026-03-30T06:23:08Z</dcterms:created>
  <dcterms:modified xsi:type="dcterms:W3CDTF">2026-03-30T06:23:08Z</dcterms:modified>
</cp:coreProperties>
</file>