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27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3600" w:type="dxa"/>
            <w:vAlign w:val="bottom"/>
            <w:gridSpan w:val="4"/>
          </w:tcPr>
          <w:p>
            <w:pPr>
              <w:jc w:val="center"/>
              <w:ind w:right="2360"/>
              <w:spacing w:after="0"/>
              <w:rPr>
                <w:sz w:val="20"/>
                <w:szCs w:val="20"/>
                <w:color w:val="auto"/>
              </w:rPr>
            </w:pPr>
            <w:r>
              <w:rPr>
                <w:rFonts w:ascii="Times New Roman" w:cs="Times New Roman" w:eastAsia="Times New Roman" w:hAnsi="Times New Roman"/>
                <w:sz w:val="18"/>
                <w:szCs w:val="18"/>
                <w:b w:val="1"/>
                <w:bCs w:val="1"/>
                <w:color w:val="auto"/>
                <w:w w:val="99"/>
              </w:rPr>
              <w:t>FORM 8-K</w:t>
            </w:r>
          </w:p>
        </w:tc>
        <w:tc>
          <w:tcPr>
            <w:tcW w:w="2640" w:type="dxa"/>
            <w:vAlign w:val="bottom"/>
          </w:tcPr>
          <w:p>
            <w:pPr>
              <w:spacing w:after="0"/>
              <w:rPr>
                <w:sz w:val="20"/>
                <w:szCs w:val="20"/>
                <w:color w:val="auto"/>
              </w:rPr>
            </w:pPr>
          </w:p>
        </w:tc>
      </w:tr>
      <w:tr>
        <w:trPr>
          <w:trHeight w:val="432"/>
        </w:trPr>
        <w:tc>
          <w:tcPr>
            <w:tcW w:w="27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660" w:type="dxa"/>
            <w:vAlign w:val="bottom"/>
            <w:gridSpan w:val="5"/>
          </w:tcPr>
          <w:p>
            <w:pPr>
              <w:jc w:val="center"/>
              <w:ind w:right="1300"/>
              <w:spacing w:after="0"/>
              <w:rPr>
                <w:sz w:val="20"/>
                <w:szCs w:val="20"/>
                <w:color w:val="auto"/>
              </w:rPr>
            </w:pPr>
            <w:r>
              <w:rPr>
                <w:rFonts w:ascii="Times New Roman" w:cs="Times New Roman" w:eastAsia="Times New Roman" w:hAnsi="Times New Roman"/>
                <w:sz w:val="18"/>
                <w:szCs w:val="18"/>
                <w:b w:val="1"/>
                <w:bCs w:val="1"/>
                <w:color w:val="auto"/>
                <w:w w:val="99"/>
              </w:rPr>
              <w:t>CURRENT REPORT</w:t>
            </w:r>
          </w:p>
        </w:tc>
        <w:tc>
          <w:tcPr>
            <w:tcW w:w="2640" w:type="dxa"/>
            <w:vAlign w:val="bottom"/>
          </w:tcPr>
          <w:p>
            <w:pPr>
              <w:spacing w:after="0"/>
              <w:rPr>
                <w:sz w:val="24"/>
                <w:szCs w:val="24"/>
                <w:color w:val="auto"/>
              </w:rPr>
            </w:pPr>
          </w:p>
        </w:tc>
      </w:tr>
      <w:tr>
        <w:trPr>
          <w:trHeight w:val="432"/>
        </w:trPr>
        <w:tc>
          <w:tcPr>
            <w:tcW w:w="2780" w:type="dxa"/>
            <w:vAlign w:val="bottom"/>
          </w:tcPr>
          <w:p>
            <w:pPr>
              <w:spacing w:after="0"/>
              <w:rPr>
                <w:sz w:val="24"/>
                <w:szCs w:val="24"/>
                <w:color w:val="auto"/>
              </w:rPr>
            </w:pPr>
          </w:p>
        </w:tc>
        <w:tc>
          <w:tcPr>
            <w:tcW w:w="5820" w:type="dxa"/>
            <w:vAlign w:val="bottom"/>
            <w:gridSpan w:val="7"/>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 Securities Exchange Act of 1934</w:t>
            </w:r>
          </w:p>
        </w:tc>
        <w:tc>
          <w:tcPr>
            <w:tcW w:w="2640" w:type="dxa"/>
            <w:vAlign w:val="bottom"/>
          </w:tcPr>
          <w:p>
            <w:pPr>
              <w:spacing w:after="0"/>
              <w:rPr>
                <w:sz w:val="24"/>
                <w:szCs w:val="24"/>
                <w:color w:val="auto"/>
              </w:rPr>
            </w:pPr>
          </w:p>
        </w:tc>
      </w:tr>
      <w:tr>
        <w:trPr>
          <w:trHeight w:val="432"/>
        </w:trPr>
        <w:tc>
          <w:tcPr>
            <w:tcW w:w="2780" w:type="dxa"/>
            <w:vAlign w:val="bottom"/>
          </w:tcPr>
          <w:p>
            <w:pPr>
              <w:spacing w:after="0"/>
              <w:rPr>
                <w:sz w:val="24"/>
                <w:szCs w:val="24"/>
                <w:color w:val="auto"/>
              </w:rPr>
            </w:pPr>
          </w:p>
        </w:tc>
        <w:tc>
          <w:tcPr>
            <w:tcW w:w="5820" w:type="dxa"/>
            <w:vAlign w:val="bottom"/>
            <w:gridSpan w:val="7"/>
          </w:tcPr>
          <w:p>
            <w:pPr>
              <w:jc w:val="center"/>
              <w:ind w:right="120"/>
              <w:spacing w:after="0"/>
              <w:rPr>
                <w:sz w:val="20"/>
                <w:szCs w:val="20"/>
                <w:color w:val="auto"/>
              </w:rPr>
            </w:pPr>
            <w:r>
              <w:rPr>
                <w:rFonts w:ascii="Times New Roman" w:cs="Times New Roman" w:eastAsia="Times New Roman" w:hAnsi="Times New Roman"/>
                <w:sz w:val="18"/>
                <w:szCs w:val="18"/>
                <w:color w:val="auto"/>
                <w:w w:val="99"/>
              </w:rPr>
              <w:t xml:space="preserve">Date of Report (date of earliest event reported): </w:t>
            </w:r>
            <w:r>
              <w:rPr>
                <w:rFonts w:ascii="Times New Roman" w:cs="Times New Roman" w:eastAsia="Times New Roman" w:hAnsi="Times New Roman"/>
                <w:sz w:val="18"/>
                <w:szCs w:val="18"/>
                <w:b w:val="1"/>
                <w:bCs w:val="1"/>
                <w:color w:val="auto"/>
                <w:w w:val="99"/>
              </w:rPr>
              <w:t>November 30, 2022</w:t>
            </w:r>
          </w:p>
        </w:tc>
        <w:tc>
          <w:tcPr>
            <w:tcW w:w="2640" w:type="dxa"/>
            <w:vAlign w:val="bottom"/>
          </w:tcPr>
          <w:p>
            <w:pPr>
              <w:spacing w:after="0"/>
              <w:rPr>
                <w:sz w:val="24"/>
                <w:szCs w:val="24"/>
                <w:color w:val="auto"/>
              </w:rPr>
            </w:pPr>
          </w:p>
        </w:tc>
      </w:tr>
      <w:tr>
        <w:trPr>
          <w:trHeight w:val="391"/>
        </w:trPr>
        <w:tc>
          <w:tcPr>
            <w:tcW w:w="27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600" w:type="dxa"/>
            <w:vAlign w:val="bottom"/>
            <w:gridSpan w:val="4"/>
          </w:tcPr>
          <w:p>
            <w:pPr>
              <w:jc w:val="center"/>
              <w:ind w:right="2360"/>
              <w:spacing w:after="0"/>
              <w:rPr>
                <w:sz w:val="20"/>
                <w:szCs w:val="20"/>
                <w:color w:val="auto"/>
              </w:rPr>
            </w:pPr>
            <w:r>
              <w:rPr>
                <w:rFonts w:ascii="Times New Roman" w:cs="Times New Roman" w:eastAsia="Times New Roman" w:hAnsi="Times New Roman"/>
                <w:sz w:val="18"/>
                <w:szCs w:val="18"/>
                <w:b w:val="1"/>
                <w:bCs w:val="1"/>
                <w:color w:val="auto"/>
                <w:w w:val="99"/>
              </w:rPr>
              <w:t>NOCERA, INC.</w:t>
            </w:r>
          </w:p>
        </w:tc>
        <w:tc>
          <w:tcPr>
            <w:tcW w:w="2640" w:type="dxa"/>
            <w:vAlign w:val="bottom"/>
          </w:tcPr>
          <w:p>
            <w:pPr>
              <w:spacing w:after="0"/>
              <w:rPr>
                <w:sz w:val="24"/>
                <w:szCs w:val="24"/>
                <w:color w:val="auto"/>
              </w:rPr>
            </w:pPr>
          </w:p>
        </w:tc>
      </w:tr>
      <w:tr>
        <w:trPr>
          <w:trHeight w:val="20"/>
        </w:trPr>
        <w:tc>
          <w:tcPr>
            <w:tcW w:w="278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20" w:type="dxa"/>
            <w:vAlign w:val="bottom"/>
            <w:gridSpan w:val="2"/>
          </w:tcPr>
          <w:p>
            <w:pPr>
              <w:spacing w:after="0" w:line="20" w:lineRule="exact"/>
              <w:rPr>
                <w:sz w:val="1"/>
                <w:szCs w:val="1"/>
                <w:color w:val="auto"/>
              </w:rPr>
            </w:pPr>
          </w:p>
        </w:tc>
        <w:tc>
          <w:tcPr>
            <w:tcW w:w="1240" w:type="dxa"/>
            <w:vAlign w:val="bottom"/>
            <w:shd w:val="clear" w:color="auto" w:fill="000000"/>
          </w:tcPr>
          <w:p>
            <w:pPr>
              <w:spacing w:after="0" w:line="20" w:lineRule="exact"/>
              <w:rPr>
                <w:sz w:val="1"/>
                <w:szCs w:val="1"/>
                <w:color w:val="auto"/>
              </w:rPr>
            </w:pPr>
          </w:p>
        </w:tc>
        <w:tc>
          <w:tcPr>
            <w:tcW w:w="2360" w:type="dxa"/>
            <w:vAlign w:val="bottom"/>
            <w:gridSpan w:val="3"/>
          </w:tcPr>
          <w:p>
            <w:pPr>
              <w:spacing w:after="0" w:line="20" w:lineRule="exact"/>
              <w:rPr>
                <w:sz w:val="1"/>
                <w:szCs w:val="1"/>
                <w:color w:val="auto"/>
              </w:rPr>
            </w:pPr>
          </w:p>
        </w:tc>
        <w:tc>
          <w:tcPr>
            <w:tcW w:w="2640" w:type="dxa"/>
            <w:vAlign w:val="bottom"/>
          </w:tcPr>
          <w:p>
            <w:pPr>
              <w:spacing w:after="0" w:line="20" w:lineRule="exact"/>
              <w:rPr>
                <w:sz w:val="1"/>
                <w:szCs w:val="1"/>
                <w:color w:val="auto"/>
              </w:rPr>
            </w:pPr>
          </w:p>
        </w:tc>
      </w:tr>
      <w:tr>
        <w:trPr>
          <w:trHeight w:val="237"/>
        </w:trPr>
        <w:tc>
          <w:tcPr>
            <w:tcW w:w="27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220" w:type="dxa"/>
            <w:vAlign w:val="bottom"/>
            <w:gridSpan w:val="6"/>
          </w:tcPr>
          <w:p>
            <w:pPr>
              <w:jc w:val="center"/>
              <w:ind w:right="720"/>
              <w:spacing w:after="0"/>
              <w:rPr>
                <w:sz w:val="20"/>
                <w:szCs w:val="20"/>
                <w:color w:val="auto"/>
              </w:rPr>
            </w:pPr>
            <w:r>
              <w:rPr>
                <w:rFonts w:ascii="Times New Roman" w:cs="Times New Roman" w:eastAsia="Times New Roman" w:hAnsi="Times New Roman"/>
                <w:sz w:val="18"/>
                <w:szCs w:val="18"/>
                <w:color w:val="auto"/>
                <w:w w:val="99"/>
              </w:rPr>
              <w:t>(Exact name of registrant as specified in charter)</w:t>
            </w:r>
          </w:p>
        </w:tc>
        <w:tc>
          <w:tcPr>
            <w:tcW w:w="2640" w:type="dxa"/>
            <w:vAlign w:val="bottom"/>
          </w:tcPr>
          <w:p>
            <w:pPr>
              <w:spacing w:after="0"/>
              <w:rPr>
                <w:sz w:val="20"/>
                <w:szCs w:val="20"/>
                <w:color w:val="auto"/>
              </w:rPr>
            </w:pPr>
          </w:p>
        </w:tc>
      </w:tr>
      <w:tr>
        <w:trPr>
          <w:trHeight w:val="439"/>
        </w:trPr>
        <w:tc>
          <w:tcPr>
            <w:tcW w:w="2780" w:type="dxa"/>
            <w:vAlign w:val="bottom"/>
          </w:tcPr>
          <w:p>
            <w:pPr>
              <w:jc w:val="center"/>
              <w:ind w:left="51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460" w:type="dxa"/>
            <w:vAlign w:val="bottom"/>
            <w:gridSpan w:val="4"/>
          </w:tcPr>
          <w:p>
            <w:pPr>
              <w:jc w:val="center"/>
              <w:ind w:left="2150"/>
              <w:spacing w:after="0"/>
              <w:rPr>
                <w:sz w:val="20"/>
                <w:szCs w:val="20"/>
                <w:color w:val="auto"/>
              </w:rPr>
            </w:pPr>
            <w:r>
              <w:rPr>
                <w:rFonts w:ascii="Times New Roman" w:cs="Times New Roman" w:eastAsia="Times New Roman" w:hAnsi="Times New Roman"/>
                <w:sz w:val="18"/>
                <w:szCs w:val="18"/>
                <w:b w:val="1"/>
                <w:bCs w:val="1"/>
                <w:color w:val="auto"/>
                <w:w w:val="99"/>
              </w:rPr>
              <w:t>001-41434</w:t>
            </w:r>
          </w:p>
        </w:tc>
        <w:tc>
          <w:tcPr>
            <w:tcW w:w="10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2640" w:type="dxa"/>
            <w:vAlign w:val="bottom"/>
          </w:tcPr>
          <w:p>
            <w:pPr>
              <w:jc w:val="center"/>
              <w:ind w:right="650"/>
              <w:spacing w:after="0"/>
              <w:rPr>
                <w:sz w:val="20"/>
                <w:szCs w:val="20"/>
                <w:color w:val="auto"/>
              </w:rPr>
            </w:pPr>
            <w:r>
              <w:rPr>
                <w:rFonts w:ascii="Times New Roman" w:cs="Times New Roman" w:eastAsia="Times New Roman" w:hAnsi="Times New Roman"/>
                <w:sz w:val="18"/>
                <w:szCs w:val="18"/>
                <w:b w:val="1"/>
                <w:bCs w:val="1"/>
                <w:color w:val="auto"/>
                <w:w w:val="98"/>
              </w:rPr>
              <w:t>16-1626611</w:t>
            </w:r>
          </w:p>
        </w:tc>
      </w:tr>
      <w:tr>
        <w:trPr>
          <w:trHeight w:val="198"/>
        </w:trPr>
        <w:tc>
          <w:tcPr>
            <w:tcW w:w="2780" w:type="dxa"/>
            <w:vAlign w:val="bottom"/>
            <w:tcBorders>
              <w:top w:val="single" w:sz="8" w:color="auto"/>
            </w:tcBorders>
          </w:tcPr>
          <w:p>
            <w:pPr>
              <w:jc w:val="center"/>
              <w:ind w:left="510"/>
              <w:spacing w:after="0" w:line="198" w:lineRule="exact"/>
              <w:rPr>
                <w:sz w:val="20"/>
                <w:szCs w:val="20"/>
                <w:color w:val="auto"/>
              </w:rPr>
            </w:pPr>
            <w:r>
              <w:rPr>
                <w:rFonts w:ascii="Times New Roman" w:cs="Times New Roman" w:eastAsia="Times New Roman" w:hAnsi="Times New Roman"/>
                <w:sz w:val="18"/>
                <w:szCs w:val="18"/>
                <w:color w:val="auto"/>
              </w:rPr>
              <w:t>(State or other jurisdiction</w:t>
            </w:r>
          </w:p>
        </w:tc>
        <w:tc>
          <w:tcPr>
            <w:tcW w:w="600" w:type="dxa"/>
            <w:vAlign w:val="bottom"/>
            <w:tcBorders>
              <w:top w:val="single" w:sz="8" w:color="auto"/>
            </w:tcBorders>
          </w:tcPr>
          <w:p>
            <w:pPr>
              <w:spacing w:after="0"/>
              <w:rPr>
                <w:sz w:val="17"/>
                <w:szCs w:val="17"/>
                <w:color w:val="auto"/>
              </w:rPr>
            </w:pPr>
          </w:p>
        </w:tc>
        <w:tc>
          <w:tcPr>
            <w:tcW w:w="560" w:type="dxa"/>
            <w:vAlign w:val="bottom"/>
          </w:tcPr>
          <w:p>
            <w:pPr>
              <w:spacing w:after="0"/>
              <w:rPr>
                <w:sz w:val="17"/>
                <w:szCs w:val="17"/>
                <w:color w:val="auto"/>
              </w:rPr>
            </w:pPr>
          </w:p>
        </w:tc>
        <w:tc>
          <w:tcPr>
            <w:tcW w:w="1060" w:type="dxa"/>
            <w:vAlign w:val="bottom"/>
            <w:tcBorders>
              <w:top w:val="single" w:sz="8" w:color="auto"/>
            </w:tcBorders>
          </w:tcPr>
          <w:p>
            <w:pPr>
              <w:spacing w:after="0"/>
              <w:rPr>
                <w:sz w:val="17"/>
                <w:szCs w:val="17"/>
                <w:color w:val="auto"/>
              </w:rPr>
            </w:pPr>
          </w:p>
        </w:tc>
        <w:tc>
          <w:tcPr>
            <w:tcW w:w="2320" w:type="dxa"/>
            <w:vAlign w:val="bottom"/>
            <w:tcBorders>
              <w:top w:val="single" w:sz="8" w:color="auto"/>
            </w:tcBorders>
            <w:gridSpan w:val="2"/>
          </w:tcPr>
          <w:p>
            <w:pPr>
              <w:jc w:val="center"/>
              <w:ind w:right="1040"/>
              <w:spacing w:after="0" w:line="198" w:lineRule="exact"/>
              <w:rPr>
                <w:sz w:val="20"/>
                <w:szCs w:val="20"/>
                <w:color w:val="auto"/>
              </w:rPr>
            </w:pPr>
            <w:r>
              <w:rPr>
                <w:rFonts w:ascii="Times New Roman" w:cs="Times New Roman" w:eastAsia="Times New Roman" w:hAnsi="Times New Roman"/>
                <w:sz w:val="18"/>
                <w:szCs w:val="18"/>
                <w:color w:val="auto"/>
                <w:w w:val="98"/>
              </w:rPr>
              <w:t>(Commission</w:t>
            </w:r>
          </w:p>
        </w:tc>
        <w:tc>
          <w:tcPr>
            <w:tcW w:w="560" w:type="dxa"/>
            <w:vAlign w:val="bottom"/>
          </w:tcPr>
          <w:p>
            <w:pPr>
              <w:spacing w:after="0"/>
              <w:rPr>
                <w:sz w:val="17"/>
                <w:szCs w:val="17"/>
                <w:color w:val="auto"/>
              </w:rPr>
            </w:pPr>
          </w:p>
        </w:tc>
        <w:tc>
          <w:tcPr>
            <w:tcW w:w="720" w:type="dxa"/>
            <w:vAlign w:val="bottom"/>
            <w:tcBorders>
              <w:top w:val="single" w:sz="8" w:color="auto"/>
            </w:tcBorders>
          </w:tcPr>
          <w:p>
            <w:pPr>
              <w:spacing w:after="0"/>
              <w:rPr>
                <w:sz w:val="17"/>
                <w:szCs w:val="17"/>
                <w:color w:val="auto"/>
              </w:rPr>
            </w:pPr>
          </w:p>
        </w:tc>
        <w:tc>
          <w:tcPr>
            <w:tcW w:w="2640" w:type="dxa"/>
            <w:vAlign w:val="bottom"/>
            <w:tcBorders>
              <w:top w:val="single" w:sz="8" w:color="auto"/>
            </w:tcBorders>
          </w:tcPr>
          <w:p>
            <w:pPr>
              <w:jc w:val="center"/>
              <w:ind w:right="630"/>
              <w:spacing w:after="0" w:line="198" w:lineRule="exact"/>
              <w:rPr>
                <w:sz w:val="20"/>
                <w:szCs w:val="20"/>
                <w:color w:val="auto"/>
              </w:rPr>
            </w:pPr>
            <w:r>
              <w:rPr>
                <w:rFonts w:ascii="Times New Roman" w:cs="Times New Roman" w:eastAsia="Times New Roman" w:hAnsi="Times New Roman"/>
                <w:sz w:val="18"/>
                <w:szCs w:val="18"/>
                <w:color w:val="auto"/>
                <w:w w:val="98"/>
              </w:rPr>
              <w:t>(IRS Employer</w:t>
            </w:r>
          </w:p>
        </w:tc>
      </w:tr>
      <w:tr>
        <w:trPr>
          <w:trHeight w:val="234"/>
        </w:trPr>
        <w:tc>
          <w:tcPr>
            <w:tcW w:w="2780" w:type="dxa"/>
            <w:vAlign w:val="bottom"/>
          </w:tcPr>
          <w:p>
            <w:pPr>
              <w:jc w:val="center"/>
              <w:ind w:left="510"/>
              <w:spacing w:after="0"/>
              <w:rPr>
                <w:sz w:val="20"/>
                <w:szCs w:val="20"/>
                <w:color w:val="auto"/>
              </w:rPr>
            </w:pPr>
            <w:r>
              <w:rPr>
                <w:rFonts w:ascii="Times New Roman" w:cs="Times New Roman" w:eastAsia="Times New Roman" w:hAnsi="Times New Roman"/>
                <w:sz w:val="18"/>
                <w:szCs w:val="18"/>
                <w:color w:val="auto"/>
                <w:w w:val="99"/>
              </w:rPr>
              <w:t>of incorporation)</w:t>
            </w:r>
          </w:p>
        </w:tc>
        <w:tc>
          <w:tcPr>
            <w:tcW w:w="6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3600" w:type="dxa"/>
            <w:vAlign w:val="bottom"/>
            <w:gridSpan w:val="4"/>
          </w:tcPr>
          <w:p>
            <w:pPr>
              <w:jc w:val="center"/>
              <w:ind w:right="2320"/>
              <w:spacing w:after="0"/>
              <w:rPr>
                <w:sz w:val="20"/>
                <w:szCs w:val="20"/>
                <w:color w:val="auto"/>
              </w:rPr>
            </w:pPr>
            <w:r>
              <w:rPr>
                <w:rFonts w:ascii="Times New Roman" w:cs="Times New Roman" w:eastAsia="Times New Roman" w:hAnsi="Times New Roman"/>
                <w:sz w:val="18"/>
                <w:szCs w:val="18"/>
                <w:color w:val="auto"/>
                <w:w w:val="98"/>
              </w:rPr>
              <w:t>File Number)</w:t>
            </w:r>
          </w:p>
        </w:tc>
        <w:tc>
          <w:tcPr>
            <w:tcW w:w="264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w w:val="99"/>
              </w:rPr>
              <w:t>Identification No.)</w:t>
            </w:r>
          </w:p>
        </w:tc>
      </w:tr>
    </w:tbl>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3F (Building B), No. 185, Sec. 1, Datong Rd., Xizhi Dist., New Taipei City Taiwan 221,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 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N/A</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207" w:lineRule="exact"/>
        <w:rPr>
          <w:sz w:val="24"/>
          <w:szCs w:val="24"/>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registrant under any of the following provisions:</w:t>
      </w:r>
    </w:p>
    <w:p>
      <w:pPr>
        <w:spacing w:after="0" w:line="162" w:lineRule="exact"/>
        <w:rPr>
          <w:sz w:val="24"/>
          <w:szCs w:val="24"/>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2980" w:firstLine="8"/>
        <w:spacing w:after="0" w:line="498" w:lineRule="auto"/>
        <w:tabs>
          <w:tab w:leader="none" w:pos="207"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 Securities registered pursuant to Section 12(b) of the Act: None</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4220" w:type="dxa"/>
            <w:vAlign w:val="bottom"/>
            <w:tcBorders>
              <w:bottom w:val="single" w:sz="8" w:color="auto"/>
            </w:tcBorders>
          </w:tcPr>
          <w:p>
            <w:pPr>
              <w:jc w:val="center"/>
              <w:ind w:right="370"/>
              <w:spacing w:after="0"/>
              <w:rPr>
                <w:sz w:val="20"/>
                <w:szCs w:val="20"/>
                <w:color w:val="auto"/>
              </w:rPr>
            </w:pPr>
            <w:r>
              <w:rPr>
                <w:rFonts w:ascii="Times New Roman" w:cs="Times New Roman" w:eastAsia="Times New Roman" w:hAnsi="Times New Roman"/>
                <w:sz w:val="18"/>
                <w:szCs w:val="18"/>
                <w:b w:val="1"/>
                <w:bCs w:val="1"/>
                <w:color w:val="auto"/>
              </w:rPr>
              <w:t>Title of each class</w:t>
            </w:r>
          </w:p>
        </w:tc>
        <w:tc>
          <w:tcPr>
            <w:tcW w:w="27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Trading Symbol</w:t>
            </w:r>
          </w:p>
        </w:tc>
        <w:tc>
          <w:tcPr>
            <w:tcW w:w="4280" w:type="dxa"/>
            <w:vAlign w:val="bottom"/>
            <w:tcBorders>
              <w:bottom w:val="single" w:sz="8" w:color="auto"/>
            </w:tcBorders>
          </w:tcPr>
          <w:p>
            <w:pPr>
              <w:jc w:val="center"/>
              <w:ind w:left="450"/>
              <w:spacing w:after="0"/>
              <w:rPr>
                <w:sz w:val="20"/>
                <w:szCs w:val="20"/>
                <w:color w:val="auto"/>
              </w:rPr>
            </w:pPr>
            <w:r>
              <w:rPr>
                <w:rFonts w:ascii="Times New Roman" w:cs="Times New Roman" w:eastAsia="Times New Roman" w:hAnsi="Times New Roman"/>
                <w:sz w:val="18"/>
                <w:szCs w:val="18"/>
                <w:b w:val="1"/>
                <w:bCs w:val="1"/>
                <w:color w:val="auto"/>
                <w:w w:val="99"/>
              </w:rPr>
              <w:t>Name of each exchange on which registered</w:t>
            </w:r>
          </w:p>
        </w:tc>
      </w:tr>
      <w:tr>
        <w:trPr>
          <w:trHeight w:val="228"/>
        </w:trPr>
        <w:tc>
          <w:tcPr>
            <w:tcW w:w="4220" w:type="dxa"/>
            <w:vAlign w:val="bottom"/>
          </w:tcPr>
          <w:p>
            <w:pPr>
              <w:jc w:val="center"/>
              <w:ind w:right="370"/>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27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4280" w:type="dxa"/>
            <w:vAlign w:val="bottom"/>
          </w:tcPr>
          <w:p>
            <w:pPr>
              <w:jc w:val="center"/>
              <w:ind w:left="430"/>
              <w:spacing w:after="0"/>
              <w:rPr>
                <w:sz w:val="20"/>
                <w:szCs w:val="20"/>
                <w:color w:val="auto"/>
              </w:rPr>
            </w:pPr>
            <w:r>
              <w:rPr>
                <w:rFonts w:ascii="Times New Roman" w:cs="Times New Roman" w:eastAsia="Times New Roman" w:hAnsi="Times New Roman"/>
                <w:sz w:val="18"/>
                <w:szCs w:val="18"/>
                <w:color w:val="auto"/>
              </w:rPr>
              <w:t>The Nasdaq Stock Market LLC</w:t>
            </w:r>
          </w:p>
        </w:tc>
      </w:tr>
    </w:tbl>
    <w:p>
      <w:pPr>
        <w:spacing w:after="0" w:line="179" w:lineRule="exact"/>
        <w:rPr>
          <w:sz w:val="24"/>
          <w:szCs w:val="24"/>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33" w:lineRule="exact"/>
        <w:rPr>
          <w:sz w:val="24"/>
          <w:szCs w:val="24"/>
          <w:color w:val="auto"/>
        </w:rPr>
      </w:pPr>
    </w:p>
    <w:p>
      <w:pPr>
        <w:ind w:left="9060"/>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65" w:lineRule="exact"/>
        <w:rPr>
          <w:sz w:val="24"/>
          <w:szCs w:val="24"/>
          <w:color w:val="auto"/>
        </w:rPr>
      </w:pPr>
    </w:p>
    <w:p>
      <w:pPr>
        <w:jc w:val="both"/>
        <w:spacing w:after="0" w:line="235"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605155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225" w:right="339" w:bottom="1440"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1.01 Entry into a Material Definitive Agreement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November 30, 2022, Nocera, Inc., a Nevada corporation (the “Company”), entered into a Purchase of Business Agreement (the “XFC Purchase Agreement”) with Han-Chieh Shih (the “Purchaser”), in which the Company sold its controlling interest of Xin Feng Construction Co., Ltd, a domestic funded limited liability company registered in Taiwan (“XFC”), to the Purchaser for a total purchase cash price of $300,000 (the “XFC Sale”). The closing of the XFC Sale occurred on November 30, 2022 (the “Closing Date”).</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Pursuant to the XFC Purchase Agreement, the Purchaser did not assume nor is liable for any of the liabilities, debts, or obligations of the Seller arising out of the ownership or operation of XFC prior to and including the Closing Date. Also, the Company has agreed to indemnify and save harmless the Purchaser, its officers, directors, employees, agents, and shareholders from and against all costs, expenses, losses, claims, and liabilities, including reasonable legal fees and disbursements, or demands for income, sales, excise or other taxes, suffered or incurred by the Purchaser or any of the above-mentioned persons arising out of the ownership or operation of XFC prior to and including the Closing Date.</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XFC Purchase Agreement contained customary representations and warranties by both parties.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 copy of the XFC Purchase Agreement is filed as Exhibit 10.1 to this Form 8-K and is incorporated by reference herein.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1.02 Termination of a Material Definitive Agreement</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previously disclosed by the Company in a Form 8-K filed with the Securities and Exchange Commission on January 4, 2021, on December 31, 2020, the Company and XFC entered into a series of contractual agreements (“VIE Agreements”) whereby the Company agreed to provide technical consulting and related services to XFC, in exchange for the Company’s ability to (i) have the power to direct the activities that most significantly affect the economic performance of XFC, and (ii) receive the economic benefits of XFC that could be significant to XFC. As a result of the XFC Sale disclosed in Item 1.01 of this Form 8-K, the VIE Agreements were terminated as of the Closing Date.</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9.01 Financial Statements and Exhibits.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 Exhibits</w:t>
      </w:r>
    </w:p>
    <w:p>
      <w:pPr>
        <w:spacing w:after="0" w:line="248" w:lineRule="exact"/>
        <w:rPr>
          <w:sz w:val="20"/>
          <w:szCs w:val="20"/>
          <w:color w:val="auto"/>
        </w:rPr>
      </w:pPr>
    </w:p>
    <w:p>
      <w:pPr>
        <w:ind w:left="40"/>
        <w:spacing w:after="0"/>
        <w:tabs>
          <w:tab w:leader="none" w:pos="1100" w:val="left"/>
        </w:tabs>
        <w:rPr>
          <w:sz w:val="20"/>
          <w:szCs w:val="20"/>
          <w:color w:val="auto"/>
        </w:rPr>
      </w:pPr>
      <w:r>
        <w:rPr>
          <w:rFonts w:ascii="Times New Roman" w:cs="Times New Roman" w:eastAsia="Times New Roman" w:hAnsi="Times New Roman"/>
          <w:sz w:val="18"/>
          <w:szCs w:val="18"/>
          <w:b w:val="1"/>
          <w:bCs w:val="1"/>
          <w:color w:val="auto"/>
        </w:rPr>
        <w:t>Exhibit No.</w:t>
        <w:tab/>
        <w:t>Description</w:t>
      </w:r>
    </w:p>
    <w:p>
      <w:pPr>
        <w:spacing w:after="0" w:line="40" w:lineRule="exact"/>
        <w:rPr>
          <w:sz w:val="20"/>
          <w:szCs w:val="20"/>
          <w:color w:val="auto"/>
        </w:rPr>
      </w:pPr>
    </w:p>
    <w:p>
      <w:pPr>
        <w:ind w:left="40"/>
        <w:spacing w:after="0"/>
        <w:tabs>
          <w:tab w:leader="none" w:pos="1100" w:val="left"/>
        </w:tabs>
        <w:rPr>
          <w:sz w:val="20"/>
          <w:szCs w:val="20"/>
          <w:color w:val="auto"/>
        </w:rPr>
      </w:pPr>
      <w:r>
        <w:rPr>
          <w:rFonts w:ascii="Times New Roman" w:cs="Times New Roman" w:eastAsia="Times New Roman" w:hAnsi="Times New Roman"/>
          <w:sz w:val="18"/>
          <w:szCs w:val="18"/>
          <w:color w:val="auto"/>
        </w:rPr>
        <w:t>10.1</w:t>
      </w:r>
      <w:r>
        <w:rPr>
          <w:sz w:val="20"/>
          <w:szCs w:val="20"/>
          <w:color w:val="auto"/>
        </w:rPr>
        <w:tab/>
      </w:r>
      <w:r>
        <w:rPr>
          <w:rFonts w:ascii="Times New Roman" w:cs="Times New Roman" w:eastAsia="Times New Roman" w:hAnsi="Times New Roman"/>
          <w:sz w:val="17"/>
          <w:szCs w:val="17"/>
          <w:u w:val="single" w:color="auto"/>
          <w:color w:val="0000EE"/>
        </w:rPr>
        <w:t>Purchase of Business Agreement dated as of November 30, 2022, by and between Nocera, Inc. and Han-Chieh Shih</w:t>
      </w:r>
    </w:p>
    <w:p>
      <w:pPr>
        <w:spacing w:after="0" w:line="36" w:lineRule="exact"/>
        <w:rPr>
          <w:sz w:val="20"/>
          <w:szCs w:val="20"/>
          <w:color w:val="auto"/>
        </w:rPr>
      </w:pPr>
    </w:p>
    <w:p>
      <w:pPr>
        <w:ind w:left="1120" w:hanging="1085"/>
        <w:spacing w:after="0"/>
        <w:tabs>
          <w:tab w:leader="none" w:pos="112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Cover Page Interactive Data File (formatted in inline XBRL, and included in exhibit 101).</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8" w:lineRule="exact"/>
        <w:rPr>
          <w:rFonts w:ascii="Times New Roman" w:cs="Times New Roman" w:eastAsia="Times New Roman" w:hAnsi="Times New Roman"/>
          <w:sz w:val="18"/>
          <w:szCs w:val="18"/>
          <w:color w:val="auto"/>
        </w:rPr>
      </w:pPr>
    </w:p>
    <w:p>
      <w:pPr>
        <w:ind w:left="55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ind w:right="-319"/>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700" w:type="dxa"/>
            <w:vAlign w:val="bottom"/>
          </w:tcPr>
          <w:p>
            <w:pPr>
              <w:spacing w:after="0"/>
              <w:rPr>
                <w:sz w:val="20"/>
                <w:szCs w:val="20"/>
                <w:color w:val="auto"/>
              </w:rPr>
            </w:pPr>
          </w:p>
        </w:tc>
        <w:tc>
          <w:tcPr>
            <w:tcW w:w="5100" w:type="dxa"/>
            <w:vAlign w:val="bottom"/>
            <w:gridSpan w:val="3"/>
          </w:tcPr>
          <w:p>
            <w:pPr>
              <w:ind w:left="192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391"/>
        </w:trPr>
        <w:tc>
          <w:tcPr>
            <w:tcW w:w="3700" w:type="dxa"/>
            <w:vAlign w:val="bottom"/>
          </w:tcPr>
          <w:p>
            <w:pPr>
              <w:spacing w:after="0"/>
              <w:rPr>
                <w:sz w:val="20"/>
                <w:szCs w:val="20"/>
                <w:color w:val="auto"/>
              </w:rPr>
            </w:pPr>
            <w:r>
              <w:rPr>
                <w:rFonts w:ascii="Times New Roman" w:cs="Times New Roman" w:eastAsia="Times New Roman" w:hAnsi="Times New Roman"/>
                <w:sz w:val="18"/>
                <w:szCs w:val="18"/>
                <w:color w:val="auto"/>
              </w:rPr>
              <w:t>Date: December 2, 2022</w:t>
            </w:r>
          </w:p>
        </w:tc>
        <w:tc>
          <w:tcPr>
            <w:tcW w:w="5100" w:type="dxa"/>
            <w:vAlign w:val="bottom"/>
            <w:gridSpan w:val="3"/>
          </w:tcPr>
          <w:p>
            <w:pPr>
              <w:ind w:left="1920"/>
              <w:spacing w:after="0"/>
              <w:rPr>
                <w:sz w:val="20"/>
                <w:szCs w:val="20"/>
                <w:color w:val="auto"/>
              </w:rPr>
            </w:pPr>
            <w:r>
              <w:rPr>
                <w:rFonts w:ascii="Times New Roman" w:cs="Times New Roman" w:eastAsia="Times New Roman" w:hAnsi="Times New Roman"/>
                <w:sz w:val="18"/>
                <w:szCs w:val="18"/>
                <w:color w:val="auto"/>
              </w:rPr>
              <w:t xml:space="preserve">By: </w:t>
            </w:r>
            <w:r>
              <w:rPr>
                <w:rFonts w:ascii="Times New Roman" w:cs="Times New Roman" w:eastAsia="Times New Roman" w:hAnsi="Times New Roman"/>
                <w:sz w:val="18"/>
                <w:szCs w:val="18"/>
                <w:i w:val="1"/>
                <w:iCs w:val="1"/>
                <w:color w:val="auto"/>
              </w:rPr>
              <w:t>/s/ Yin-Chieh Cheng</w:t>
            </w:r>
          </w:p>
        </w:tc>
      </w:tr>
      <w:tr>
        <w:trPr>
          <w:trHeight w:val="20"/>
        </w:trPr>
        <w:tc>
          <w:tcPr>
            <w:tcW w:w="3700" w:type="dxa"/>
            <w:vAlign w:val="bottom"/>
          </w:tcPr>
          <w:p>
            <w:pPr>
              <w:spacing w:after="0" w:line="20" w:lineRule="exact"/>
              <w:rPr>
                <w:sz w:val="1"/>
                <w:szCs w:val="1"/>
                <w:color w:val="auto"/>
              </w:rPr>
            </w:pPr>
          </w:p>
        </w:tc>
        <w:tc>
          <w:tcPr>
            <w:tcW w:w="2220" w:type="dxa"/>
            <w:vAlign w:val="bottom"/>
          </w:tcPr>
          <w:p>
            <w:pPr>
              <w:spacing w:after="0" w:line="20" w:lineRule="exact"/>
              <w:rPr>
                <w:sz w:val="1"/>
                <w:szCs w:val="1"/>
                <w:color w:val="auto"/>
              </w:rPr>
            </w:pPr>
          </w:p>
        </w:tc>
        <w:tc>
          <w:tcPr>
            <w:tcW w:w="1460" w:type="dxa"/>
            <w:vAlign w:val="bottom"/>
            <w:shd w:val="clear" w:color="auto" w:fill="000000"/>
          </w:tcPr>
          <w:p>
            <w:pPr>
              <w:spacing w:after="0" w:line="20" w:lineRule="exact"/>
              <w:rPr>
                <w:sz w:val="1"/>
                <w:szCs w:val="1"/>
                <w:color w:val="auto"/>
              </w:rPr>
            </w:pPr>
          </w:p>
        </w:tc>
        <w:tc>
          <w:tcPr>
            <w:tcW w:w="1420" w:type="dxa"/>
            <w:vAlign w:val="bottom"/>
          </w:tcPr>
          <w:p>
            <w:pPr>
              <w:spacing w:after="0" w:line="20" w:lineRule="exact"/>
              <w:rPr>
                <w:sz w:val="1"/>
                <w:szCs w:val="1"/>
                <w:color w:val="auto"/>
              </w:rPr>
            </w:pPr>
          </w:p>
        </w:tc>
      </w:tr>
      <w:tr>
        <w:trPr>
          <w:trHeight w:val="218"/>
        </w:trPr>
        <w:tc>
          <w:tcPr>
            <w:tcW w:w="3700" w:type="dxa"/>
            <w:vAlign w:val="bottom"/>
          </w:tcPr>
          <w:p>
            <w:pPr>
              <w:spacing w:after="0"/>
              <w:rPr>
                <w:sz w:val="18"/>
                <w:szCs w:val="18"/>
                <w:color w:val="auto"/>
              </w:rPr>
            </w:pPr>
          </w:p>
        </w:tc>
        <w:tc>
          <w:tcPr>
            <w:tcW w:w="5100" w:type="dxa"/>
            <w:vAlign w:val="bottom"/>
            <w:gridSpan w:val="3"/>
          </w:tcPr>
          <w:p>
            <w:pPr>
              <w:ind w:left="1920"/>
              <w:spacing w:after="0"/>
              <w:rPr>
                <w:sz w:val="20"/>
                <w:szCs w:val="20"/>
                <w:color w:val="auto"/>
              </w:rPr>
            </w:pPr>
            <w:r>
              <w:rPr>
                <w:rFonts w:ascii="Times New Roman" w:cs="Times New Roman" w:eastAsia="Times New Roman" w:hAnsi="Times New Roman"/>
                <w:sz w:val="18"/>
                <w:szCs w:val="18"/>
                <w:color w:val="auto"/>
              </w:rPr>
              <w:t>Name: Yin-Chieh Cheng</w:t>
            </w:r>
          </w:p>
        </w:tc>
      </w:tr>
      <w:tr>
        <w:trPr>
          <w:trHeight w:val="234"/>
        </w:trPr>
        <w:tc>
          <w:tcPr>
            <w:tcW w:w="3700" w:type="dxa"/>
            <w:vAlign w:val="bottom"/>
          </w:tcPr>
          <w:p>
            <w:pPr>
              <w:spacing w:after="0"/>
              <w:rPr>
                <w:sz w:val="20"/>
                <w:szCs w:val="20"/>
                <w:color w:val="auto"/>
              </w:rPr>
            </w:pPr>
          </w:p>
        </w:tc>
        <w:tc>
          <w:tcPr>
            <w:tcW w:w="5100" w:type="dxa"/>
            <w:vAlign w:val="bottom"/>
            <w:gridSpan w:val="3"/>
          </w:tcPr>
          <w:p>
            <w:pPr>
              <w:ind w:left="1920"/>
              <w:spacing w:after="0"/>
              <w:rPr>
                <w:sz w:val="20"/>
                <w:szCs w:val="20"/>
                <w:color w:val="auto"/>
              </w:rPr>
            </w:pPr>
            <w:r>
              <w:rPr>
                <w:rFonts w:ascii="Times New Roman" w:cs="Times New Roman" w:eastAsia="Times New Roman" w:hAnsi="Times New Roman"/>
                <w:sz w:val="18"/>
                <w:szCs w:val="18"/>
                <w:color w:val="auto"/>
                <w:w w:val="99"/>
              </w:rPr>
              <w:t>Title: President and Chief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33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920"/>
          </w:cols>
          <w:pgMar w:left="320" w:top="792" w:right="659" w:bottom="1440"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22"/>
          <w:szCs w:val="22"/>
          <w:b w:val="1"/>
          <w:bCs w:val="1"/>
          <w:color w:val="auto"/>
        </w:rPr>
        <w:t>Exhibit 10.1</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PURCHASE OF BUSINESS AGREEMENT</w:t>
      </w:r>
    </w:p>
    <w:p>
      <w:pPr>
        <w:spacing w:after="0" w:line="225" w:lineRule="exact"/>
        <w:rPr>
          <w:sz w:val="20"/>
          <w:szCs w:val="20"/>
          <w:color w:val="auto"/>
        </w:rPr>
      </w:pPr>
    </w:p>
    <w:p>
      <w:pPr>
        <w:ind w:right="72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THIS PURCHASE OF BUSINESS AGREEMENT </w:t>
      </w:r>
      <w:r>
        <w:rPr>
          <w:rFonts w:ascii="Times New Roman" w:cs="Times New Roman" w:eastAsia="Times New Roman" w:hAnsi="Times New Roman"/>
          <w:sz w:val="18"/>
          <w:szCs w:val="18"/>
          <w:color w:val="auto"/>
        </w:rPr>
        <w:t>(the "Agreement") made and entered into this 30th day of November, 2022 (the "Execution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Date”),</w:t>
      </w:r>
    </w:p>
    <w:p>
      <w:pPr>
        <w:spacing w:after="0" w:line="3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BETWEEN:</w:t>
      </w:r>
    </w:p>
    <w:p>
      <w:pPr>
        <w:spacing w:after="0" w:line="2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Nocera, Inc. of 3F., No. 185, Sec 1, Datong Rd., Xizhi Dist., New Taipei City 221451, Taiwan (R.O.C.)</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(the “Seller”)</w:t>
      </w:r>
    </w:p>
    <w:p>
      <w:pPr>
        <w:spacing w:after="0" w:line="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OF THE FIRST PART</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and</w:t>
      </w: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Han-Chieh Shih of 7F., No. 262 Zhong Zheng Rd., Xizhi Dist., New Taipei City 22109, Taiwan (R.O.C.)</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(the “Purchaser")</w:t>
      </w:r>
    </w:p>
    <w:p>
      <w:pPr>
        <w:spacing w:after="0" w:line="207"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OF THE SECOND PART</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BACKGROUND</w:t>
      </w:r>
    </w:p>
    <w:p>
      <w:pPr>
        <w:spacing w:after="0" w:line="207" w:lineRule="exact"/>
        <w:rPr>
          <w:sz w:val="20"/>
          <w:szCs w:val="20"/>
          <w:color w:val="auto"/>
        </w:rPr>
      </w:pPr>
    </w:p>
    <w:p>
      <w:pPr>
        <w:ind w:left="440" w:right="120" w:hanging="351"/>
        <w:spacing w:after="0" w:line="255" w:lineRule="auto"/>
        <w:tabs>
          <w:tab w:leader="none" w:pos="44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and Xin Feng Construction Co., Ltd, a domestic funded limited liability company registered in Taiwan (the "Corporation"), entered into a series of contractual agreements (“VIE Agreements”) whereby the Seller agreed to provide technical consulting and related services to the Corporation. As a result, the Seller has been determined to be the primary beneficiary of the Corporation and the Corporation became a variable interest entity (“VIE”) of the Seller.</w:t>
      </w:r>
    </w:p>
    <w:p>
      <w:pPr>
        <w:spacing w:after="0" w:line="2" w:lineRule="exact"/>
        <w:rPr>
          <w:rFonts w:ascii="Times New Roman" w:cs="Times New Roman" w:eastAsia="Times New Roman" w:hAnsi="Times New Roman"/>
          <w:sz w:val="18"/>
          <w:szCs w:val="18"/>
          <w:color w:val="auto"/>
        </w:rPr>
      </w:pPr>
    </w:p>
    <w:p>
      <w:pPr>
        <w:ind w:left="440" w:right="60" w:hanging="351"/>
        <w:spacing w:after="0" w:line="260" w:lineRule="auto"/>
        <w:tabs>
          <w:tab w:leader="none" w:pos="44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desires to sell the controlling interest of VIE (the “Controlling Interest”) to the Purchaser, and the Purchaser desires to buy the Controlling Interest.</w:t>
      </w:r>
    </w:p>
    <w:p>
      <w:pPr>
        <w:spacing w:after="0" w:line="177" w:lineRule="exact"/>
        <w:rPr>
          <w:sz w:val="20"/>
          <w:szCs w:val="20"/>
          <w:color w:val="auto"/>
        </w:rPr>
      </w:pPr>
    </w:p>
    <w:p>
      <w:pPr>
        <w:ind w:right="60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IN CONSIDERATION </w:t>
      </w:r>
      <w:r>
        <w:rPr>
          <w:rFonts w:ascii="Times New Roman" w:cs="Times New Roman" w:eastAsia="Times New Roman" w:hAnsi="Times New Roman"/>
          <w:sz w:val="18"/>
          <w:szCs w:val="18"/>
          <w:color w:val="auto"/>
        </w:rPr>
        <w:t>of the provisions contained in this Agreement and for other good and valuable consideration, the receipt and sufficiency of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which consideration is acknowledge, the Parties agree as follow:</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Definitions</w:t>
      </w:r>
    </w:p>
    <w:p>
      <w:pPr>
        <w:spacing w:after="0" w:line="31" w:lineRule="exact"/>
        <w:rPr>
          <w:sz w:val="20"/>
          <w:szCs w:val="20"/>
          <w:color w:val="auto"/>
        </w:rPr>
      </w:pPr>
    </w:p>
    <w:p>
      <w:pPr>
        <w:ind w:left="440" w:hanging="351"/>
        <w:spacing w:after="0"/>
        <w:tabs>
          <w:tab w:leader="none" w:pos="44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following definitions apply in the Agreement:</w:t>
      </w:r>
    </w:p>
    <w:p>
      <w:pPr>
        <w:spacing w:after="0" w:line="9" w:lineRule="exact"/>
        <w:rPr>
          <w:rFonts w:ascii="Times New Roman" w:cs="Times New Roman" w:eastAsia="Times New Roman" w:hAnsi="Times New Roman"/>
          <w:sz w:val="18"/>
          <w:szCs w:val="18"/>
          <w:color w:val="auto"/>
        </w:rPr>
      </w:pPr>
    </w:p>
    <w:p>
      <w:pPr>
        <w:ind w:left="760" w:right="400" w:hanging="347"/>
        <w:spacing w:after="0" w:line="250" w:lineRule="auto"/>
        <w:tabs>
          <w:tab w:leader="none" w:pos="760" w:val="left"/>
        </w:tabs>
        <w:numPr>
          <w:ilvl w:val="1"/>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“Closing” means the completion of the purchase and sale of the Controlling Interest as described in this Agreement by the payment of agree consideration, and the VIE Agreements do not need to be re-sign; and</w:t>
      </w:r>
    </w:p>
    <w:p>
      <w:pPr>
        <w:ind w:left="760" w:hanging="347"/>
        <w:spacing w:after="0"/>
        <w:tabs>
          <w:tab w:leader="none" w:pos="760" w:val="left"/>
        </w:tabs>
        <w:numPr>
          <w:ilvl w:val="1"/>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“Parties” means both the Seller and the Purchaser and “Party” means any one of them.</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Sale</w:t>
      </w:r>
    </w:p>
    <w:p>
      <w:pPr>
        <w:spacing w:after="0" w:line="31" w:lineRule="exact"/>
        <w:rPr>
          <w:sz w:val="20"/>
          <w:szCs w:val="20"/>
          <w:color w:val="auto"/>
        </w:rPr>
      </w:pPr>
    </w:p>
    <w:p>
      <w:pPr>
        <w:ind w:left="440" w:hanging="351"/>
        <w:spacing w:after="0" w:line="260" w:lineRule="auto"/>
        <w:tabs>
          <w:tab w:leader="none" w:pos="44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 to the terms and conditions of this Agreement, and in reliance on the representations, warranties, and conditions set out in this Agreement, the Seller agrees to sell the Controlling Interest to the Purchaser and the Purchaser agrees to purchase the Controlling Interest from the Seller.</w:t>
      </w: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4" w:name="page5"/>
    <w:bookmarkEnd w:id="4"/>
    <w:p>
      <w:pPr>
        <w:spacing w:after="0"/>
        <w:rPr>
          <w:sz w:val="20"/>
          <w:szCs w:val="20"/>
          <w:color w:val="auto"/>
        </w:rPr>
      </w:pPr>
      <w:r>
        <w:rPr>
          <w:rFonts w:ascii="Times New Roman" w:cs="Times New Roman" w:eastAsia="Times New Roman" w:hAnsi="Times New Roman"/>
          <w:sz w:val="18"/>
          <w:szCs w:val="18"/>
          <w:b w:val="1"/>
          <w:bCs w:val="1"/>
          <w:u w:val="single" w:color="auto"/>
          <w:color w:val="auto"/>
        </w:rPr>
        <w:t>Purchase Price</w:t>
      </w:r>
    </w:p>
    <w:p>
      <w:pPr>
        <w:spacing w:after="0" w:line="31" w:lineRule="exact"/>
        <w:rPr>
          <w:sz w:val="20"/>
          <w:szCs w:val="20"/>
          <w:color w:val="auto"/>
        </w:rPr>
      </w:pPr>
    </w:p>
    <w:p>
      <w:pPr>
        <w:ind w:left="440" w:right="560" w:hanging="351"/>
        <w:spacing w:after="0" w:line="250" w:lineRule="auto"/>
        <w:tabs>
          <w:tab w:leader="none" w:pos="44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price to be paid by the Purchaser to the Seller for the Controlling Interest will be Three Hundred Thousand Dollars ($300,000) (the “Total Purchase Price”).</w:t>
      </w:r>
    </w:p>
    <w:p>
      <w:pPr>
        <w:ind w:left="440" w:right="100" w:hanging="351"/>
        <w:spacing w:after="0" w:line="260" w:lineRule="auto"/>
        <w:tabs>
          <w:tab w:leader="none" w:pos="44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Parties agree to co-operate in the filing of elections under any other applicable taxation legislation, in order to give the required or desired effect to the allocation of the Total Purchase Price.</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Closing</w:t>
      </w:r>
    </w:p>
    <w:p>
      <w:pPr>
        <w:spacing w:after="0" w:line="31" w:lineRule="exact"/>
        <w:rPr>
          <w:sz w:val="20"/>
          <w:szCs w:val="20"/>
          <w:color w:val="auto"/>
        </w:rPr>
      </w:pPr>
    </w:p>
    <w:p>
      <w:pPr>
        <w:ind w:left="440" w:right="20" w:hanging="351"/>
        <w:spacing w:after="0" w:line="250" w:lineRule="auto"/>
        <w:tabs>
          <w:tab w:leader="none" w:pos="44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Closing of the purchase and sale of the Controlling Interest will take place on the 30th day of November, 2022 (the “Closing Date”) at the offices of the Seller or at such other time and place as the Parties mutually agree.</w:t>
      </w:r>
    </w:p>
    <w:p>
      <w:pPr>
        <w:ind w:left="440" w:hanging="351"/>
        <w:spacing w:after="0"/>
        <w:tabs>
          <w:tab w:leader="none" w:pos="44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Closing, and upon the Purchaser paying the Total Purchase Price in full to the Seller, the Seller will:</w:t>
      </w:r>
    </w:p>
    <w:p>
      <w:pPr>
        <w:spacing w:after="0" w:line="9" w:lineRule="exact"/>
        <w:rPr>
          <w:rFonts w:ascii="Times New Roman" w:cs="Times New Roman" w:eastAsia="Times New Roman" w:hAnsi="Times New Roman"/>
          <w:sz w:val="18"/>
          <w:szCs w:val="18"/>
          <w:color w:val="auto"/>
        </w:rPr>
      </w:pPr>
    </w:p>
    <w:p>
      <w:pPr>
        <w:ind w:left="760" w:hanging="347"/>
        <w:spacing w:after="0"/>
        <w:tabs>
          <w:tab w:leader="none" w:pos="760"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the Purchaser with duly executed transfers of the Controlling Interest; and</w:t>
      </w:r>
    </w:p>
    <w:p>
      <w:pPr>
        <w:spacing w:after="0" w:line="9" w:lineRule="exact"/>
        <w:rPr>
          <w:rFonts w:ascii="Times New Roman" w:cs="Times New Roman" w:eastAsia="Times New Roman" w:hAnsi="Times New Roman"/>
          <w:sz w:val="18"/>
          <w:szCs w:val="18"/>
          <w:color w:val="auto"/>
        </w:rPr>
      </w:pPr>
    </w:p>
    <w:p>
      <w:pPr>
        <w:ind w:left="760" w:hanging="347"/>
        <w:spacing w:after="0"/>
        <w:tabs>
          <w:tab w:leader="none" w:pos="760"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deliver to the Purchaser the VIE Agreements representing the Controlling Interest.</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Payment</w:t>
      </w:r>
    </w:p>
    <w:p>
      <w:pPr>
        <w:spacing w:after="0" w:line="31" w:lineRule="exact"/>
        <w:rPr>
          <w:sz w:val="20"/>
          <w:szCs w:val="20"/>
          <w:color w:val="auto"/>
        </w:rPr>
      </w:pPr>
    </w:p>
    <w:p>
      <w:pPr>
        <w:ind w:left="440" w:right="20" w:hanging="351"/>
        <w:spacing w:after="0" w:line="250" w:lineRule="auto"/>
        <w:tabs>
          <w:tab w:leader="none" w:pos="44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Total Purchase Price for the Controlling Interest will be paid by the Purchaser in one lump sum payment to the Seller in the form of a certified check, a Teller’s Check or an electronic money or funds transfer. In the case of an electronic money or funds transfer, the Seller will give notice to the Purchaser of the bank account particulars at least 5 business days prior to the Closing Date.</w:t>
      </w:r>
    </w:p>
    <w:p>
      <w:pPr>
        <w:spacing w:after="0" w:line="1" w:lineRule="exact"/>
        <w:rPr>
          <w:rFonts w:ascii="Times New Roman" w:cs="Times New Roman" w:eastAsia="Times New Roman" w:hAnsi="Times New Roman"/>
          <w:sz w:val="18"/>
          <w:szCs w:val="18"/>
          <w:color w:val="auto"/>
        </w:rPr>
      </w:pPr>
    </w:p>
    <w:p>
      <w:pPr>
        <w:ind w:left="440" w:right="40" w:hanging="351"/>
        <w:spacing w:after="0" w:line="260" w:lineRule="auto"/>
        <w:tabs>
          <w:tab w:leader="none" w:pos="44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is responsible for paying all applicable taxes, including federal sales tax, state sales tax, duties, and any other taxes or changes payable pursuant to the transfer of the Controlling Interest from the Seller to the Purchaser.</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Seller’s Representations and Warranties</w:t>
      </w:r>
    </w:p>
    <w:p>
      <w:pPr>
        <w:spacing w:after="0" w:line="31" w:lineRule="exact"/>
        <w:rPr>
          <w:sz w:val="20"/>
          <w:szCs w:val="20"/>
          <w:color w:val="auto"/>
        </w:rPr>
      </w:pPr>
    </w:p>
    <w:p>
      <w:pPr>
        <w:ind w:left="440" w:hanging="351"/>
        <w:spacing w:after="0"/>
        <w:tabs>
          <w:tab w:leader="none" w:pos="44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represents and warrants to the Purchaser that:</w:t>
      </w:r>
    </w:p>
    <w:p>
      <w:pPr>
        <w:spacing w:after="0" w:line="9" w:lineRule="exact"/>
        <w:rPr>
          <w:rFonts w:ascii="Times New Roman" w:cs="Times New Roman" w:eastAsia="Times New Roman" w:hAnsi="Times New Roman"/>
          <w:sz w:val="18"/>
          <w:szCs w:val="18"/>
          <w:color w:val="auto"/>
        </w:rPr>
      </w:pPr>
    </w:p>
    <w:p>
      <w:pPr>
        <w:ind w:left="760" w:hanging="347"/>
        <w:spacing w:after="0"/>
        <w:tabs>
          <w:tab w:leader="none" w:pos="760"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has full legal authority to enter into and exercise its obligations under this Agreement;</w:t>
      </w:r>
    </w:p>
    <w:p>
      <w:pPr>
        <w:spacing w:after="0" w:line="9" w:lineRule="exact"/>
        <w:rPr>
          <w:rFonts w:ascii="Times New Roman" w:cs="Times New Roman" w:eastAsia="Times New Roman" w:hAnsi="Times New Roman"/>
          <w:sz w:val="18"/>
          <w:szCs w:val="18"/>
          <w:color w:val="auto"/>
        </w:rPr>
      </w:pPr>
    </w:p>
    <w:p>
      <w:pPr>
        <w:ind w:left="760" w:right="120" w:hanging="347"/>
        <w:spacing w:after="0" w:line="250" w:lineRule="auto"/>
        <w:tabs>
          <w:tab w:leader="none" w:pos="760"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Corporation is a corporation duly incorporated or continued, validly existing, and in good standing and has all requisite authority to carry on business as currently conducted;</w:t>
      </w:r>
    </w:p>
    <w:p>
      <w:pPr>
        <w:ind w:left="760" w:right="20" w:hanging="347"/>
        <w:spacing w:after="0" w:line="250" w:lineRule="auto"/>
        <w:tabs>
          <w:tab w:leader="none" w:pos="760"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expect as otherwise provided in this Agreement, there has been no act or omission by the Seller that would give rise to any valid claim relating to a brokerage commission, finder’s fee or other similar payment;</w:t>
      </w:r>
    </w:p>
    <w:p>
      <w:pPr>
        <w:ind w:left="760" w:hanging="347"/>
        <w:spacing w:after="0"/>
        <w:tabs>
          <w:tab w:leader="none" w:pos="760"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has withheld all amounts required to be withheld under income tax legislation and has paid all amounts owing to the proper authorities;</w:t>
      </w:r>
    </w:p>
    <w:p>
      <w:pPr>
        <w:spacing w:after="0" w:line="9" w:lineRule="exact"/>
        <w:rPr>
          <w:rFonts w:ascii="Times New Roman" w:cs="Times New Roman" w:eastAsia="Times New Roman" w:hAnsi="Times New Roman"/>
          <w:sz w:val="18"/>
          <w:szCs w:val="18"/>
          <w:color w:val="auto"/>
        </w:rPr>
      </w:pPr>
    </w:p>
    <w:p>
      <w:pPr>
        <w:ind w:left="760" w:right="60" w:hanging="347"/>
        <w:spacing w:after="0" w:line="250" w:lineRule="auto"/>
        <w:tabs>
          <w:tab w:leader="none" w:pos="760"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Corporation is not bound by any written or oral pension or collective bargaining agreement or obligated to make any contributions under any retirement income plan, deferred profit sharing plan or similar plan;</w:t>
      </w:r>
    </w:p>
    <w:p>
      <w:pPr>
        <w:ind w:left="760" w:right="100" w:hanging="347"/>
        <w:spacing w:after="0" w:line="250" w:lineRule="auto"/>
        <w:tabs>
          <w:tab w:leader="none" w:pos="760"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Corporation will not dismiss any current employees or hire any new employees, or substantially change the role or title of any existing employees, provide unscheduled or irregular increases in salary or benefits to employees, or institute any significant changes to the terms of any employee's employment, after signing this Agreement, unless the Purchaser provides written consent;</w:t>
      </w:r>
    </w:p>
    <w:p>
      <w:pPr>
        <w:spacing w:after="0" w:line="1" w:lineRule="exact"/>
        <w:rPr>
          <w:rFonts w:ascii="Times New Roman" w:cs="Times New Roman" w:eastAsia="Times New Roman" w:hAnsi="Times New Roman"/>
          <w:sz w:val="18"/>
          <w:szCs w:val="18"/>
          <w:color w:val="auto"/>
        </w:rPr>
      </w:pPr>
    </w:p>
    <w:p>
      <w:pPr>
        <w:ind w:left="760" w:right="100" w:hanging="347"/>
        <w:spacing w:after="0" w:line="250" w:lineRule="auto"/>
        <w:tabs>
          <w:tab w:leader="none" w:pos="760"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are no claims threatened or pending against the Corporation by any current or past employee relating to any matter arising from or relating to the employment of the employee;</w:t>
      </w:r>
    </w:p>
    <w:p>
      <w:pPr>
        <w:ind w:left="760" w:right="260" w:hanging="347"/>
        <w:spacing w:after="0" w:line="265" w:lineRule="auto"/>
        <w:tabs>
          <w:tab w:leader="none" w:pos="760" w:val="left"/>
        </w:tabs>
        <w:numPr>
          <w:ilvl w:val="1"/>
          <w:numId w:val="9"/>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the Corporation is operating in accordance with all applicable laws, rules, and regulations of the jurisdictions in which it is carried on. In compliance with such laws, the Seller has duly licensed, registered, or qualified the Corporation with the appropriate authorities and agencies;</w:t>
      </w:r>
    </w:p>
    <w:p>
      <w:pPr>
        <w:ind w:left="760" w:right="60" w:hanging="347"/>
        <w:spacing w:after="0" w:line="255" w:lineRule="auto"/>
        <w:tabs>
          <w:tab w:leader="none" w:pos="760"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Corporation maintains insurance policies on its assets and such policies are in full force and effect and of an adequate value as would be reasonable in its industry. The Corporation has neither defaulted under these insurance policies, whether as a result of failure to pay premiums or due to any other cause, nor has the Corporation failed to give notice or make a claim under these insurance policies in a timely manner;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ind w:left="760" w:right="60" w:hanging="347"/>
        <w:spacing w:after="0" w:line="255" w:lineRule="auto"/>
        <w:tabs>
          <w:tab w:leader="none" w:pos="760"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trademarks and trade names used in carrying on the business of the Corporation are owned exclusively and validly by the Corporation. The trademarks and trade names are duly registered with the appropriate public authorities in order that the rights associated with the trademarks and trade names are protected. To the best knowledge of the officers of the Corporation, there are no claims of infringement existing against the patents, trademarks, copyrights or any other trade names used by the Corporation;</w:t>
      </w:r>
    </w:p>
    <w:p>
      <w:pPr>
        <w:spacing w:after="0" w:line="2" w:lineRule="exact"/>
        <w:rPr>
          <w:rFonts w:ascii="Times New Roman" w:cs="Times New Roman" w:eastAsia="Times New Roman" w:hAnsi="Times New Roman"/>
          <w:sz w:val="18"/>
          <w:szCs w:val="18"/>
          <w:color w:val="auto"/>
        </w:rPr>
      </w:pPr>
    </w:p>
    <w:p>
      <w:pPr>
        <w:ind w:left="760" w:hanging="347"/>
        <w:spacing w:after="0" w:line="250" w:lineRule="auto"/>
        <w:tabs>
          <w:tab w:leader="none" w:pos="760"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trademarks and trade names used in whole or in part in or required for the proper operation of the business of the Corporation are validly and beneficially owned by and for the sole and exclusive use of the Corporation;</w:t>
      </w:r>
    </w:p>
    <w:p>
      <w:pPr>
        <w:ind w:left="760" w:hanging="347"/>
        <w:spacing w:after="0" w:line="250" w:lineRule="auto"/>
        <w:tabs>
          <w:tab w:leader="none" w:pos="760"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the best knowledge of the officers of the Corporation, the conduct of the Corporation does not infringe on the patents, trademarks, trade names or copyrights, whether domestic or foreign, of any other person, firm or corporation;</w:t>
      </w:r>
    </w:p>
    <w:p>
      <w:pPr>
        <w:ind w:left="760" w:right="60" w:hanging="347"/>
        <w:spacing w:after="0" w:line="250" w:lineRule="auto"/>
        <w:tabs>
          <w:tab w:leader="none" w:pos="760"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Corporation owns or is licensed to use all necessary software and it can continue to use any and all computerized records, files and programs after the Closing Date in the same manner as before the Closing Date;</w:t>
      </w:r>
    </w:p>
    <w:p>
      <w:pPr>
        <w:ind w:left="760" w:right="120" w:hanging="347"/>
        <w:spacing w:after="0" w:line="250" w:lineRule="auto"/>
        <w:tabs>
          <w:tab w:leader="none" w:pos="760"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Corporation has filed all tax reports and returns required in the operation of its business and has paid all taxes owed to all taxing authorities, including foreign taxing authorities, except amounts that are being properly contested by the Seller, the details of this contest having been provided to the Purchaser; and</w:t>
      </w:r>
    </w:p>
    <w:p>
      <w:pPr>
        <w:spacing w:after="0" w:line="1" w:lineRule="exact"/>
        <w:rPr>
          <w:rFonts w:ascii="Times New Roman" w:cs="Times New Roman" w:eastAsia="Times New Roman" w:hAnsi="Times New Roman"/>
          <w:sz w:val="18"/>
          <w:szCs w:val="18"/>
          <w:color w:val="auto"/>
        </w:rPr>
      </w:pPr>
    </w:p>
    <w:p>
      <w:pPr>
        <w:jc w:val="both"/>
        <w:ind w:left="760" w:right="280" w:hanging="347"/>
        <w:spacing w:after="0" w:line="250" w:lineRule="auto"/>
        <w:tabs>
          <w:tab w:leader="none" w:pos="760"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has been duly executed and delivered by the Seller and constitutes a legal and binding obligation of the Seller, enforceable in accordance with its terms, except as enforcement may be limited by bankruptcy and insolvency, by other laws affecting the rights of creditors generally, and by equitable remedies granted by a court of competent jurisdiction.</w:t>
      </w:r>
    </w:p>
    <w:p>
      <w:pPr>
        <w:spacing w:after="0" w:line="1" w:lineRule="exact"/>
        <w:rPr>
          <w:rFonts w:ascii="Times New Roman" w:cs="Times New Roman" w:eastAsia="Times New Roman" w:hAnsi="Times New Roman"/>
          <w:sz w:val="18"/>
          <w:szCs w:val="18"/>
          <w:color w:val="auto"/>
        </w:rPr>
      </w:pPr>
    </w:p>
    <w:p>
      <w:pPr>
        <w:ind w:left="440" w:right="200" w:hanging="351"/>
        <w:spacing w:after="0" w:line="250" w:lineRule="auto"/>
        <w:tabs>
          <w:tab w:leader="none" w:pos="44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representations and warranties given in this Agreement are the only representations and warranties. No other representation or warranty, either expressed or implied, has been given by the Seller to the Purchaser.</w:t>
      </w:r>
    </w:p>
    <w:p>
      <w:pPr>
        <w:ind w:left="440" w:right="280" w:hanging="351"/>
        <w:spacing w:after="0" w:line="250" w:lineRule="auto"/>
        <w:tabs>
          <w:tab w:leader="none" w:pos="44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warrants to the Purchaser that each of the representations and warranties made by it is accurate and not misleading at the Closing Date. The Seller acknowledges that the Purchaser is entering into this Agreement in reliance on each representation and warranty.</w:t>
      </w:r>
    </w:p>
    <w:p>
      <w:pPr>
        <w:ind w:left="440" w:hanging="351"/>
        <w:spacing w:after="0"/>
        <w:tabs>
          <w:tab w:leader="none" w:pos="44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Seller's representations and warranties will survive the Closing Date of this Agreement.</w:t>
      </w:r>
    </w:p>
    <w:p>
      <w:pPr>
        <w:spacing w:after="0" w:line="9" w:lineRule="exact"/>
        <w:rPr>
          <w:rFonts w:ascii="Times New Roman" w:cs="Times New Roman" w:eastAsia="Times New Roman" w:hAnsi="Times New Roman"/>
          <w:sz w:val="18"/>
          <w:szCs w:val="18"/>
          <w:color w:val="auto"/>
        </w:rPr>
      </w:pPr>
    </w:p>
    <w:p>
      <w:pPr>
        <w:ind w:left="440" w:right="240" w:hanging="351"/>
        <w:spacing w:after="0" w:line="250" w:lineRule="auto"/>
        <w:tabs>
          <w:tab w:leader="none" w:pos="44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Where the Purchaser has a claim against the Seller relating to one or more representations or warranties made by the Seller, the Seller will have no liability to the Purchaser unless the Purchaser provides notice in writing to the Seller containing full details of the claim on or before the third anniversary of the Closing Date.</w:t>
      </w:r>
    </w:p>
    <w:p>
      <w:pPr>
        <w:spacing w:after="0" w:line="1" w:lineRule="exact"/>
        <w:rPr>
          <w:rFonts w:ascii="Times New Roman" w:cs="Times New Roman" w:eastAsia="Times New Roman" w:hAnsi="Times New Roman"/>
          <w:sz w:val="18"/>
          <w:szCs w:val="18"/>
          <w:color w:val="auto"/>
        </w:rPr>
      </w:pPr>
    </w:p>
    <w:p>
      <w:pPr>
        <w:ind w:left="440" w:right="20" w:hanging="351"/>
        <w:spacing w:after="0" w:line="255" w:lineRule="auto"/>
        <w:tabs>
          <w:tab w:leader="none" w:pos="44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Where the Purchaser has a claim against the Seller relating to one or more representations or warranties made by the Seller, and the Purchaser is entitled to recover damages from a third party then the amount of the claim against the Seller will be reduced by the recovered or recoverable amount less all reasonable costs incurred by the Purchaser in recovering the amount from the third party.</w:t>
      </w:r>
    </w:p>
    <w:p>
      <w:pPr>
        <w:spacing w:after="0" w:line="18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Purchaser’s Representations and Warranties</w:t>
      </w:r>
    </w:p>
    <w:p>
      <w:pPr>
        <w:spacing w:after="0" w:line="31" w:lineRule="exact"/>
        <w:rPr>
          <w:sz w:val="20"/>
          <w:szCs w:val="20"/>
          <w:color w:val="auto"/>
        </w:rPr>
      </w:pPr>
    </w:p>
    <w:p>
      <w:pPr>
        <w:ind w:left="440" w:hanging="351"/>
        <w:spacing w:after="0"/>
        <w:tabs>
          <w:tab w:leader="none" w:pos="44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represents and warrants to the Seller the following :</w:t>
      </w:r>
    </w:p>
    <w:p>
      <w:pPr>
        <w:spacing w:after="0" w:line="9" w:lineRule="exact"/>
        <w:rPr>
          <w:rFonts w:ascii="Times New Roman" w:cs="Times New Roman" w:eastAsia="Times New Roman" w:hAnsi="Times New Roman"/>
          <w:sz w:val="18"/>
          <w:szCs w:val="18"/>
          <w:color w:val="auto"/>
        </w:rPr>
      </w:pPr>
    </w:p>
    <w:p>
      <w:pPr>
        <w:ind w:left="760" w:hanging="347"/>
        <w:spacing w:after="0"/>
        <w:tabs>
          <w:tab w:leader="none" w:pos="760" w:val="left"/>
        </w:tabs>
        <w:numPr>
          <w:ilvl w:val="1"/>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has full legal authority to enter into and exercise its obligations under this Agreement;</w:t>
      </w:r>
    </w:p>
    <w:p>
      <w:pPr>
        <w:spacing w:after="0" w:line="9" w:lineRule="exact"/>
        <w:rPr>
          <w:rFonts w:ascii="Times New Roman" w:cs="Times New Roman" w:eastAsia="Times New Roman" w:hAnsi="Times New Roman"/>
          <w:sz w:val="18"/>
          <w:szCs w:val="18"/>
          <w:color w:val="auto"/>
        </w:rPr>
      </w:pPr>
    </w:p>
    <w:p>
      <w:pPr>
        <w:ind w:left="760" w:right="20" w:hanging="347"/>
        <w:spacing w:after="0" w:line="250" w:lineRule="auto"/>
        <w:tabs>
          <w:tab w:leader="none" w:pos="760" w:val="left"/>
        </w:tabs>
        <w:numPr>
          <w:ilvl w:val="1"/>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has funds available to pay the full Total Purchase Price and any expenses accumulated by the Purchaser in connection with this Agreement and the Purchaser has not incurred any obligation, commitment, restriction, or liability of any kind, absolute or contingent, present or future, which would adversely affect its ability to perform its obligations under this Agreement;</w:t>
      </w:r>
    </w:p>
    <w:p>
      <w:pPr>
        <w:spacing w:after="0" w:line="1" w:lineRule="exact"/>
        <w:rPr>
          <w:rFonts w:ascii="Times New Roman" w:cs="Times New Roman" w:eastAsia="Times New Roman" w:hAnsi="Times New Roman"/>
          <w:sz w:val="18"/>
          <w:szCs w:val="18"/>
          <w:color w:val="auto"/>
        </w:rPr>
      </w:pPr>
    </w:p>
    <w:p>
      <w:pPr>
        <w:ind w:left="760" w:right="140" w:hanging="347"/>
        <w:spacing w:after="0" w:line="250" w:lineRule="auto"/>
        <w:tabs>
          <w:tab w:leader="none" w:pos="760" w:val="left"/>
        </w:tabs>
        <w:numPr>
          <w:ilvl w:val="1"/>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has not committed any act or omission that would give rise to any valid claim relating to a brokerage commission, finder's fee, or other similar payment;</w:t>
      </w:r>
    </w:p>
    <w:p>
      <w:pPr>
        <w:ind w:left="760" w:right="280" w:hanging="347"/>
        <w:spacing w:after="0" w:line="250" w:lineRule="auto"/>
        <w:tabs>
          <w:tab w:leader="none" w:pos="760" w:val="left"/>
        </w:tabs>
        <w:numPr>
          <w:ilvl w:val="1"/>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has been duly executed by the Purchaser and constitutes a legal and binding obligation of the Purchaser, enforceable in accordance with its terms, except as enforcement may be limited by bankruptcy and insolvency, by other laws affecting the rights of creditors generally, and by equitable remedies granted by a court of competent jurisdiction; and</w:t>
      </w:r>
    </w:p>
    <w:p>
      <w:pPr>
        <w:spacing w:after="0" w:line="1" w:lineRule="exact"/>
        <w:rPr>
          <w:rFonts w:ascii="Times New Roman" w:cs="Times New Roman" w:eastAsia="Times New Roman" w:hAnsi="Times New Roman"/>
          <w:sz w:val="18"/>
          <w:szCs w:val="18"/>
          <w:color w:val="auto"/>
        </w:rPr>
      </w:pPr>
    </w:p>
    <w:p>
      <w:pPr>
        <w:ind w:left="760" w:hanging="347"/>
        <w:spacing w:after="0"/>
        <w:tabs>
          <w:tab w:leader="none" w:pos="760" w:val="left"/>
        </w:tabs>
        <w:numPr>
          <w:ilvl w:val="1"/>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has no knowledge that any representation or warranty given by the Seller in this Agreement is inaccurate or false.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20" w:top="823" w:right="359" w:bottom="1440" w:gutter="0" w:footer="0" w:header="0"/>
        </w:sectPr>
      </w:pPr>
    </w:p>
    <w:bookmarkStart w:id="6" w:name="page7"/>
    <w:bookmarkEnd w:id="6"/>
    <w:p>
      <w:pPr>
        <w:ind w:left="440" w:right="900" w:hanging="351"/>
        <w:spacing w:after="0" w:line="261" w:lineRule="auto"/>
        <w:tabs>
          <w:tab w:leader="none" w:pos="44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representations and warranties given in this Agreement are the only representations and warranties. The Purchaser has given no other representation or warranty, either expressed or implied, to the Seller.</w:t>
      </w:r>
    </w:p>
    <w:p>
      <w:pPr>
        <w:ind w:left="440" w:right="140" w:hanging="351"/>
        <w:spacing w:after="0" w:line="250" w:lineRule="auto"/>
        <w:tabs>
          <w:tab w:leader="none" w:pos="44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warrants to the Seller that each of the representations and warranties made by it is accurate and not misleading at the date of Closing. The Purchaser acknowledges that the Seller is entering into this Agreement in reliance on each representation and warranty.</w:t>
      </w:r>
    </w:p>
    <w:p>
      <w:pPr>
        <w:ind w:left="440" w:hanging="351"/>
        <w:spacing w:after="0"/>
        <w:tabs>
          <w:tab w:leader="none" w:pos="44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Purchaser's representations and warranties will survive the Closing Date of this Agreement.</w:t>
      </w:r>
    </w:p>
    <w:p>
      <w:pPr>
        <w:spacing w:after="0" w:line="9" w:lineRule="exact"/>
        <w:rPr>
          <w:rFonts w:ascii="Times New Roman" w:cs="Times New Roman" w:eastAsia="Times New Roman" w:hAnsi="Times New Roman"/>
          <w:sz w:val="18"/>
          <w:szCs w:val="18"/>
          <w:color w:val="auto"/>
        </w:rPr>
      </w:pPr>
    </w:p>
    <w:p>
      <w:pPr>
        <w:ind w:left="440" w:right="180" w:hanging="351"/>
        <w:spacing w:after="0" w:line="250" w:lineRule="auto"/>
        <w:tabs>
          <w:tab w:leader="none" w:pos="44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Where the Seller has a claim against the Purchaser relating to one or more representations and warranties made by the Purchaser, the Purchaser will have no liability to the Seller unless the Seller provides notice in writing to the Purchaser containing full details of the claim on or before the third anniversary of the Closing Date.</w:t>
      </w:r>
    </w:p>
    <w:p>
      <w:pPr>
        <w:spacing w:after="0" w:line="1" w:lineRule="exact"/>
        <w:rPr>
          <w:rFonts w:ascii="Times New Roman" w:cs="Times New Roman" w:eastAsia="Times New Roman" w:hAnsi="Times New Roman"/>
          <w:sz w:val="18"/>
          <w:szCs w:val="18"/>
          <w:color w:val="auto"/>
        </w:rPr>
      </w:pPr>
    </w:p>
    <w:p>
      <w:pPr>
        <w:ind w:left="440" w:right="340" w:hanging="351"/>
        <w:spacing w:after="0" w:line="255" w:lineRule="auto"/>
        <w:tabs>
          <w:tab w:leader="none" w:pos="44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Where the Seller has a claim against the Purchaser relating to one or more representations or warranties made by the Purchaser, and the Seller is entitled to recover damages from a third party then the amount of the claim against the Purchaser will be reduced by the recovered or recoverable amount less all reasonable costs incurred by the Seller in recovering the amount from the third party.</w:t>
      </w:r>
    </w:p>
    <w:p>
      <w:pPr>
        <w:spacing w:after="0" w:line="18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Conditions Precedent to be Performed by the Purchaser</w:t>
      </w:r>
    </w:p>
    <w:p>
      <w:pPr>
        <w:spacing w:after="0" w:line="31" w:lineRule="exact"/>
        <w:rPr>
          <w:sz w:val="20"/>
          <w:szCs w:val="20"/>
          <w:color w:val="auto"/>
        </w:rPr>
      </w:pPr>
    </w:p>
    <w:p>
      <w:pPr>
        <w:ind w:left="440" w:right="80" w:hanging="351"/>
        <w:spacing w:after="0" w:line="250" w:lineRule="auto"/>
        <w:tabs>
          <w:tab w:leader="none" w:pos="44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obligation of the Seller to complete the sale of the Controlling Interest under this Agreement is subject to the satisfaction of the following conditions precedent by the Purchaser, on or before the Closing Date, each of which is acknowledged to be for the exclusive benefit of the Seller and may be waived by the Seller entirely or in part:</w:t>
      </w:r>
    </w:p>
    <w:p>
      <w:pPr>
        <w:spacing w:after="0" w:line="1" w:lineRule="exact"/>
        <w:rPr>
          <w:rFonts w:ascii="Times New Roman" w:cs="Times New Roman" w:eastAsia="Times New Roman" w:hAnsi="Times New Roman"/>
          <w:sz w:val="18"/>
          <w:szCs w:val="18"/>
          <w:color w:val="auto"/>
        </w:rPr>
      </w:pPr>
    </w:p>
    <w:p>
      <w:pPr>
        <w:ind w:left="760" w:right="20" w:hanging="347"/>
        <w:spacing w:after="0" w:line="250" w:lineRule="auto"/>
        <w:tabs>
          <w:tab w:leader="none" w:pos="760"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of the representations and warranties made by the Purchaser in this Agreement will be true and accurate in all material respects on the Closing Date; and</w:t>
      </w:r>
    </w:p>
    <w:p>
      <w:pPr>
        <w:ind w:left="760" w:right="140" w:hanging="347"/>
        <w:spacing w:after="0" w:line="260" w:lineRule="auto"/>
        <w:tabs>
          <w:tab w:leader="none" w:pos="760"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will obtain or complete all forms, documents, consents, approvals, registrations, declarations, orders, and authorizations from any person or any governmental or public body, required of the Purchaser in connection with the execution of this Agreement.</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Conditions Precedent to be Performed by the Seller</w:t>
      </w:r>
    </w:p>
    <w:p>
      <w:pPr>
        <w:spacing w:after="0" w:line="31" w:lineRule="exact"/>
        <w:rPr>
          <w:sz w:val="20"/>
          <w:szCs w:val="20"/>
          <w:color w:val="auto"/>
        </w:rPr>
      </w:pPr>
    </w:p>
    <w:p>
      <w:pPr>
        <w:ind w:left="440" w:right="400" w:hanging="351"/>
        <w:spacing w:after="0" w:line="250" w:lineRule="auto"/>
        <w:tabs>
          <w:tab w:leader="none" w:pos="44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obligation of the Purchaser to complete the purchase of the Controlling Interest under this Agreement is subject to the satisfaction of the following conditions precedent by the Seller, on or before the Closing Date, each of which is acknowledged to be for the exclusive benefit of the Purchaser and may be waived by the Purchaser entirely or in part:</w:t>
      </w:r>
    </w:p>
    <w:p>
      <w:pPr>
        <w:spacing w:after="0" w:line="1" w:lineRule="exact"/>
        <w:rPr>
          <w:rFonts w:ascii="Times New Roman" w:cs="Times New Roman" w:eastAsia="Times New Roman" w:hAnsi="Times New Roman"/>
          <w:sz w:val="18"/>
          <w:szCs w:val="18"/>
          <w:color w:val="auto"/>
        </w:rPr>
      </w:pPr>
    </w:p>
    <w:p>
      <w:pPr>
        <w:ind w:left="760" w:right="300" w:hanging="347"/>
        <w:spacing w:after="0" w:line="250" w:lineRule="auto"/>
        <w:tabs>
          <w:tab w:leader="none" w:pos="760"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of the representations and warranties made by the Seller in this Agreement will be true and accurate in all material respects on the Closing Date;</w:t>
      </w:r>
    </w:p>
    <w:p>
      <w:pPr>
        <w:ind w:left="760" w:hanging="347"/>
        <w:spacing w:after="0" w:line="250" w:lineRule="auto"/>
        <w:tabs>
          <w:tab w:leader="none" w:pos="760"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will obtain and complete any and all forms, documents, consents, approvals, registrations, declarations, orders, and authorizations from any person or governmental or public body that are required of the Seller for the proper execution of this Agreement and transfer of the Controlling Interest to the Purchaser;</w:t>
      </w:r>
    </w:p>
    <w:p>
      <w:pPr>
        <w:spacing w:after="0" w:line="1" w:lineRule="exact"/>
        <w:rPr>
          <w:rFonts w:ascii="Times New Roman" w:cs="Times New Roman" w:eastAsia="Times New Roman" w:hAnsi="Times New Roman"/>
          <w:sz w:val="18"/>
          <w:szCs w:val="18"/>
          <w:color w:val="auto"/>
        </w:rPr>
      </w:pPr>
    </w:p>
    <w:p>
      <w:pPr>
        <w:ind w:left="760" w:hanging="347"/>
        <w:spacing w:after="0"/>
        <w:tabs>
          <w:tab w:leader="none" w:pos="760"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will have executed all documentation necessary to transfer the Controlling Interest to the Purchaser; and</w:t>
      </w:r>
    </w:p>
    <w:p>
      <w:pPr>
        <w:spacing w:after="0" w:line="9" w:lineRule="exact"/>
        <w:rPr>
          <w:rFonts w:ascii="Times New Roman" w:cs="Times New Roman" w:eastAsia="Times New Roman" w:hAnsi="Times New Roman"/>
          <w:sz w:val="18"/>
          <w:szCs w:val="18"/>
          <w:color w:val="auto"/>
        </w:rPr>
      </w:pPr>
    </w:p>
    <w:p>
      <w:pPr>
        <w:ind w:left="760" w:right="240" w:hanging="347"/>
        <w:spacing w:after="0" w:line="260" w:lineRule="auto"/>
        <w:tabs>
          <w:tab w:leader="none" w:pos="760"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will provide the Purchaser with complete information concerning the operation of the Corporation, in order to put the Purchaser in a position to carry on in the place of the Seller.</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Conditions Precedent Not Satisfied</w:t>
      </w:r>
    </w:p>
    <w:p>
      <w:pPr>
        <w:spacing w:after="0" w:line="31" w:lineRule="exact"/>
        <w:rPr>
          <w:sz w:val="20"/>
          <w:szCs w:val="20"/>
          <w:color w:val="auto"/>
        </w:rPr>
      </w:pPr>
    </w:p>
    <w:p>
      <w:pPr>
        <w:ind w:left="440" w:right="180" w:hanging="351"/>
        <w:spacing w:after="0" w:line="260" w:lineRule="auto"/>
        <w:tabs>
          <w:tab w:leader="none" w:pos="44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either Party fails to satisfy any of its conditions precedent as set out in this Agreement on or before the Closing Date and that condition precedent was not waived, then this Agreement will be null and void and there will be no further liability as between the Parties.</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Disclosure</w:t>
      </w:r>
    </w:p>
    <w:p>
      <w:pPr>
        <w:spacing w:after="0" w:line="31" w:lineRule="exact"/>
        <w:rPr>
          <w:sz w:val="20"/>
          <w:szCs w:val="20"/>
          <w:color w:val="auto"/>
        </w:rPr>
      </w:pPr>
    </w:p>
    <w:p>
      <w:pPr>
        <w:ind w:left="440" w:right="20" w:hanging="351"/>
        <w:spacing w:after="0" w:line="253" w:lineRule="auto"/>
        <w:tabs>
          <w:tab w:leader="none" w:pos="44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Upon the reasonable request of the Purchaser, the Seller will, from time to time, allow the Purchaser and its agents, advisors, accountants, employees, or other representatives to have reasonable access to the premises of the Corporation and to all of the books, records, documents, and accounts of the Corporation, during normal business hours, between the date of this Agreement and the Closing Date, in order for the Purchaser to confirm the representations and warranties given by the Seller in this Agreement.</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823" w:right="339" w:bottom="1440"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8"/>
          <w:szCs w:val="18"/>
          <w:b w:val="1"/>
          <w:bCs w:val="1"/>
          <w:u w:val="single" w:color="auto"/>
          <w:color w:val="auto"/>
        </w:rPr>
        <w:t>Employees</w:t>
      </w:r>
    </w:p>
    <w:p>
      <w:pPr>
        <w:spacing w:after="0" w:line="31" w:lineRule="exact"/>
        <w:rPr>
          <w:sz w:val="20"/>
          <w:szCs w:val="20"/>
          <w:color w:val="auto"/>
        </w:rPr>
      </w:pPr>
    </w:p>
    <w:p>
      <w:pPr>
        <w:ind w:left="440" w:right="140" w:hanging="351"/>
        <w:spacing w:after="0" w:line="250" w:lineRule="auto"/>
        <w:tabs>
          <w:tab w:leader="none" w:pos="44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least 30 days prior to the Closing Date, the Purchaser will provide written offers of employment to every employee of the Corporation (the "Transferred Employees"). The offers of employment will be subject to execution of this Agreement and successful closing of this transaction. Prior to the Closing Date, the Purchaser will make itself available to discuss with each Transferred Employee the terms of the individual employment offers.</w:t>
      </w:r>
    </w:p>
    <w:p>
      <w:pPr>
        <w:spacing w:after="0" w:line="1" w:lineRule="exact"/>
        <w:rPr>
          <w:rFonts w:ascii="Times New Roman" w:cs="Times New Roman" w:eastAsia="Times New Roman" w:hAnsi="Times New Roman"/>
          <w:sz w:val="18"/>
          <w:szCs w:val="18"/>
          <w:color w:val="auto"/>
        </w:rPr>
      </w:pPr>
    </w:p>
    <w:p>
      <w:pPr>
        <w:ind w:left="440" w:right="80" w:hanging="351"/>
        <w:spacing w:after="0" w:line="250" w:lineRule="auto"/>
        <w:tabs>
          <w:tab w:leader="none" w:pos="44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will not offer employment to any employee of the Corporation who is receiving disability benefits under a disability plan of the Seller as of the Closing Date. Those employees receiving disability benefits will not be considered a Transferred Employee and will remain the full responsibility of the Seller.</w:t>
      </w:r>
    </w:p>
    <w:p>
      <w:pPr>
        <w:spacing w:after="0" w:line="1" w:lineRule="exact"/>
        <w:rPr>
          <w:rFonts w:ascii="Times New Roman" w:cs="Times New Roman" w:eastAsia="Times New Roman" w:hAnsi="Times New Roman"/>
          <w:sz w:val="18"/>
          <w:szCs w:val="18"/>
          <w:color w:val="auto"/>
        </w:rPr>
      </w:pPr>
    </w:p>
    <w:p>
      <w:pPr>
        <w:ind w:left="440" w:right="200" w:hanging="351"/>
        <w:spacing w:after="0" w:line="250" w:lineRule="auto"/>
        <w:tabs>
          <w:tab w:leader="none" w:pos="44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will pay all employee compensation incurred by it up to and including the Closing Date and including all salaries, benefits, bonuses including Controlling Interest bonuses and Controlling Interest options and any other compensation owing to all employees up to and including the Closing Date. The Seller will be responsible for all severance benefits, vacation days, sick days, personal days and other compensated time off accrued by all employees up to and including the Closing Date.</w:t>
      </w:r>
    </w:p>
    <w:p>
      <w:pPr>
        <w:spacing w:after="0" w:line="1" w:lineRule="exact"/>
        <w:rPr>
          <w:rFonts w:ascii="Times New Roman" w:cs="Times New Roman" w:eastAsia="Times New Roman" w:hAnsi="Times New Roman"/>
          <w:sz w:val="18"/>
          <w:szCs w:val="18"/>
          <w:color w:val="auto"/>
        </w:rPr>
      </w:pPr>
    </w:p>
    <w:p>
      <w:pPr>
        <w:ind w:left="440" w:right="20" w:hanging="351"/>
        <w:spacing w:after="0" w:line="250" w:lineRule="auto"/>
        <w:tabs>
          <w:tab w:leader="none" w:pos="44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is in compliance with all applicable foreign and domestic statutory rules and regulations respecting employment and employment practices and has withheld and reported all amounts required by law with respect to wages and salaries and the Seller is not liable for any accrued taxes or penalties and is not liable or in arrears to any government or private pension, social security or unemployment insurance authority. The Seller indemnifies the Purchaser for any future liabilities relating to employment and employment practices where the subject of the liability occurred up to and including the Closing Date.</w:t>
      </w:r>
    </w:p>
    <w:p>
      <w:pPr>
        <w:spacing w:after="0" w:line="1" w:lineRule="exact"/>
        <w:rPr>
          <w:rFonts w:ascii="Times New Roman" w:cs="Times New Roman" w:eastAsia="Times New Roman" w:hAnsi="Times New Roman"/>
          <w:sz w:val="18"/>
          <w:szCs w:val="18"/>
          <w:color w:val="auto"/>
        </w:rPr>
      </w:pPr>
    </w:p>
    <w:p>
      <w:pPr>
        <w:ind w:left="440" w:right="840" w:hanging="351"/>
        <w:spacing w:after="0" w:line="265" w:lineRule="auto"/>
        <w:tabs>
          <w:tab w:leader="none" w:pos="440" w:val="left"/>
        </w:tabs>
        <w:numPr>
          <w:ilvl w:val="0"/>
          <w:numId w:val="18"/>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To the best of the Seller's knowledge, information and belief, no labor dispute is currently in progress, pending or threatened involving the Transferred Employees of the Corporation that would interfere with the normal productivity or production schedules of the Corporation.</w:t>
      </w:r>
    </w:p>
    <w:p>
      <w:pPr>
        <w:jc w:val="both"/>
        <w:ind w:left="440" w:right="280" w:hanging="351"/>
        <w:spacing w:after="0" w:line="253" w:lineRule="auto"/>
        <w:tabs>
          <w:tab w:leader="none" w:pos="44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After the Closing Date, the Purchaser will adopt, assume, and become solely responsible for all Transferred Employee benefit plans including, but not limited to, all health and disability plans and pension plans currently administered by the Seller. The Purchaser will collect and pay over to the Seller any contributions of the Seller's employees that relate to periods prior to and including the Closing Date. The Purchaser agrees to waive all waiting or qualification periods and pre-existing conditions and limitations of such plans for the Transferred Employees.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Non-Assumption of Liabilities</w:t>
      </w:r>
    </w:p>
    <w:p>
      <w:pPr>
        <w:spacing w:after="0" w:line="31" w:lineRule="exact"/>
        <w:rPr>
          <w:sz w:val="20"/>
          <w:szCs w:val="20"/>
          <w:color w:val="auto"/>
        </w:rPr>
      </w:pPr>
    </w:p>
    <w:p>
      <w:pPr>
        <w:ind w:left="440" w:right="100" w:hanging="351"/>
        <w:spacing w:after="0" w:line="250" w:lineRule="auto"/>
        <w:tabs>
          <w:tab w:leader="none" w:pos="44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It is understood and agreed between the Parties that the Purchaser is not assuming and will not be liable for any of the liabilities, debts or obligations of the Seller arising out of the ownership or operation of the Corporation prior to and including the Closing Date.</w:t>
      </w:r>
    </w:p>
    <w:p>
      <w:pPr>
        <w:ind w:left="440" w:right="60" w:hanging="351"/>
        <w:spacing w:after="0" w:line="253" w:lineRule="auto"/>
        <w:tabs>
          <w:tab w:leader="none" w:pos="44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will indemnify and save harmless the Purchaser, its officers, directors, employees, agents and shareholders from and against all costs, expenses, losses, claims, and liabilities, including reasonable legal fees and disbursements, or demands for income, sales, excise or other taxes, suffered or incurred by the Purchaser or any of the above mentioned persons arising out of the ownership or operation of the Corporation prior to and including the Closing Date.</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Transfer of Third Party Contracts</w:t>
      </w:r>
    </w:p>
    <w:p>
      <w:pPr>
        <w:spacing w:after="0" w:line="31" w:lineRule="exact"/>
        <w:rPr>
          <w:sz w:val="20"/>
          <w:szCs w:val="20"/>
          <w:color w:val="auto"/>
        </w:rPr>
      </w:pPr>
    </w:p>
    <w:p>
      <w:pPr>
        <w:ind w:left="440" w:right="420" w:hanging="351"/>
        <w:spacing w:after="0" w:line="250" w:lineRule="auto"/>
        <w:tabs>
          <w:tab w:leader="none" w:pos="44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is not to be construed as an assignment of any third party contract from the Seller to the Purchaser if the assignment would be a breach of that third party contract.</w:t>
      </w:r>
    </w:p>
    <w:p>
      <w:pPr>
        <w:ind w:left="440" w:hanging="351"/>
        <w:spacing w:after="0" w:line="250" w:lineRule="auto"/>
        <w:tabs>
          <w:tab w:leader="none" w:pos="44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Purchaser will be solely responsible for acquiring new contracts with third parties where the existing contracts are not legally assignable from the Seller to the Purchaser.</w:t>
      </w:r>
    </w:p>
    <w:p>
      <w:pPr>
        <w:jc w:val="both"/>
        <w:ind w:left="440" w:right="460" w:hanging="351"/>
        <w:spacing w:after="0" w:line="260" w:lineRule="auto"/>
        <w:tabs>
          <w:tab w:leader="none" w:pos="44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any other provision in this Agreement to the contrary, the Seller will not be liable for any losses, costs or damages of any kind including loss of revenue or decrease in value of the Corporation resulting from the failure of the Purchaser to acquire any third party contracts.</w:t>
      </w: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spacing w:after="0"/>
        <w:rPr>
          <w:sz w:val="20"/>
          <w:szCs w:val="20"/>
          <w:color w:val="auto"/>
        </w:rPr>
      </w:pPr>
      <w:r>
        <w:rPr>
          <w:rFonts w:ascii="Times New Roman" w:cs="Times New Roman" w:eastAsia="Times New Roman" w:hAnsi="Times New Roman"/>
          <w:sz w:val="18"/>
          <w:szCs w:val="18"/>
          <w:b w:val="1"/>
          <w:bCs w:val="1"/>
          <w:u w:val="single" w:color="auto"/>
          <w:color w:val="auto"/>
        </w:rPr>
        <w:t>Notices</w:t>
      </w:r>
    </w:p>
    <w:p>
      <w:pPr>
        <w:spacing w:after="0" w:line="31" w:lineRule="exact"/>
        <w:rPr>
          <w:sz w:val="20"/>
          <w:szCs w:val="20"/>
          <w:color w:val="auto"/>
        </w:rPr>
      </w:pPr>
    </w:p>
    <w:p>
      <w:pPr>
        <w:ind w:left="440" w:right="180" w:hanging="351"/>
        <w:spacing w:after="0" w:line="255" w:lineRule="auto"/>
        <w:tabs>
          <w:tab w:leader="none" w:pos="44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notices or deliveries required in the performance of this Agreement will be deemed completed when hand-delivered, delivered by agent, or seven (7) days after being placed in the post, postage prepaid, to the Parties at the addresses contained in this Agreement or as the Parties may later designate in writing.</w:t>
      </w:r>
    </w:p>
    <w:p>
      <w:pPr>
        <w:spacing w:after="0" w:line="18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Expenses/Costs</w:t>
      </w:r>
    </w:p>
    <w:p>
      <w:pPr>
        <w:spacing w:after="0" w:line="31" w:lineRule="exact"/>
        <w:rPr>
          <w:sz w:val="20"/>
          <w:szCs w:val="20"/>
          <w:color w:val="auto"/>
        </w:rPr>
      </w:pPr>
    </w:p>
    <w:p>
      <w:pPr>
        <w:ind w:left="80"/>
        <w:spacing w:after="0"/>
        <w:rPr>
          <w:sz w:val="20"/>
          <w:szCs w:val="20"/>
          <w:color w:val="auto"/>
        </w:rPr>
      </w:pPr>
      <w:r>
        <w:rPr>
          <w:rFonts w:ascii="Times New Roman" w:cs="Times New Roman" w:eastAsia="Times New Roman" w:hAnsi="Times New Roman"/>
          <w:sz w:val="18"/>
          <w:szCs w:val="18"/>
          <w:color w:val="auto"/>
        </w:rPr>
        <w:t>37.  The Parties agree to pay all their own costs and expenses in connection with this Agreement.</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Confidentiality</w:t>
      </w:r>
    </w:p>
    <w:p>
      <w:pPr>
        <w:spacing w:after="0" w:line="31" w:lineRule="exact"/>
        <w:rPr>
          <w:sz w:val="20"/>
          <w:szCs w:val="20"/>
          <w:color w:val="auto"/>
        </w:rPr>
      </w:pPr>
    </w:p>
    <w:p>
      <w:pPr>
        <w:ind w:left="440" w:right="140" w:hanging="351"/>
        <w:spacing w:after="0" w:line="250" w:lineRule="auto"/>
        <w:tabs>
          <w:tab w:leader="none" w:pos="44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and the Purchaser will keep confidential all information (the "Confidential Information") pertaining to this Agreement including, but not limited to, the terms of this Agreement, the Total Purchase Price, the Parties to this Agreement, and the subject matter of this Agreement as well as any written or oral information obtained about the respective Parties that is not currently in the public domain. Confidential Information will not include the following:</w:t>
      </w:r>
    </w:p>
    <w:p>
      <w:pPr>
        <w:spacing w:after="0" w:line="1" w:lineRule="exact"/>
        <w:rPr>
          <w:rFonts w:ascii="Times New Roman" w:cs="Times New Roman" w:eastAsia="Times New Roman" w:hAnsi="Times New Roman"/>
          <w:sz w:val="18"/>
          <w:szCs w:val="18"/>
          <w:color w:val="auto"/>
        </w:rPr>
      </w:pPr>
    </w:p>
    <w:p>
      <w:pPr>
        <w:ind w:left="760" w:hanging="347"/>
        <w:spacing w:after="0"/>
        <w:tabs>
          <w:tab w:leader="none" w:pos="760"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information generally known in the respective industries of the Purchaser and the Seller;</w:t>
      </w:r>
    </w:p>
    <w:p>
      <w:pPr>
        <w:spacing w:after="0" w:line="9" w:lineRule="exact"/>
        <w:rPr>
          <w:rFonts w:ascii="Times New Roman" w:cs="Times New Roman" w:eastAsia="Times New Roman" w:hAnsi="Times New Roman"/>
          <w:sz w:val="18"/>
          <w:szCs w:val="18"/>
          <w:color w:val="auto"/>
        </w:rPr>
      </w:pPr>
    </w:p>
    <w:p>
      <w:pPr>
        <w:ind w:left="760" w:hanging="347"/>
        <w:spacing w:after="0"/>
        <w:tabs>
          <w:tab w:leader="none" w:pos="760"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information that enters the public domain through no fault of the Purchaser or the Seller;</w:t>
      </w:r>
    </w:p>
    <w:p>
      <w:pPr>
        <w:spacing w:after="0" w:line="9" w:lineRule="exact"/>
        <w:rPr>
          <w:rFonts w:ascii="Times New Roman" w:cs="Times New Roman" w:eastAsia="Times New Roman" w:hAnsi="Times New Roman"/>
          <w:sz w:val="18"/>
          <w:szCs w:val="18"/>
          <w:color w:val="auto"/>
        </w:rPr>
      </w:pPr>
    </w:p>
    <w:p>
      <w:pPr>
        <w:ind w:left="760" w:hanging="347"/>
        <w:spacing w:after="0" w:line="250" w:lineRule="auto"/>
        <w:tabs>
          <w:tab w:leader="none" w:pos="760"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information that is independently created by the Purchaser or the Seller respectively without direct or indirect use of information obtained during the course of negotiations for this Agreement; and</w:t>
      </w:r>
    </w:p>
    <w:p>
      <w:pPr>
        <w:ind w:left="760" w:hanging="347"/>
        <w:spacing w:after="0"/>
        <w:tabs>
          <w:tab w:leader="none" w:pos="760"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information that is rightfully obtained by the Purchaser or the Seller from a third party who has the right to transfer or disclose the information.</w:t>
      </w:r>
    </w:p>
    <w:p>
      <w:pPr>
        <w:spacing w:after="0" w:line="9" w:lineRule="exact"/>
        <w:rPr>
          <w:rFonts w:ascii="Times New Roman" w:cs="Times New Roman" w:eastAsia="Times New Roman" w:hAnsi="Times New Roman"/>
          <w:sz w:val="18"/>
          <w:szCs w:val="18"/>
          <w:color w:val="auto"/>
        </w:rPr>
      </w:pPr>
    </w:p>
    <w:p>
      <w:pPr>
        <w:ind w:left="440" w:right="420" w:hanging="351"/>
        <w:spacing w:after="0" w:line="250" w:lineRule="auto"/>
        <w:tabs>
          <w:tab w:leader="none" w:pos="44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Seller and the Purchaser may disclose any Confidential Information relating to this Agreement to any of its employees, agents and advisors where there is a need to know in relation to this Agreement and where the personnel agree to be legally bound by the same confidentiality obligations.</w:t>
      </w:r>
    </w:p>
    <w:p>
      <w:pPr>
        <w:spacing w:after="0" w:line="1" w:lineRule="exact"/>
        <w:rPr>
          <w:rFonts w:ascii="Times New Roman" w:cs="Times New Roman" w:eastAsia="Times New Roman" w:hAnsi="Times New Roman"/>
          <w:sz w:val="18"/>
          <w:szCs w:val="18"/>
          <w:color w:val="auto"/>
        </w:rPr>
      </w:pPr>
    </w:p>
    <w:p>
      <w:pPr>
        <w:ind w:left="440" w:right="340" w:hanging="351"/>
        <w:spacing w:after="0" w:line="250" w:lineRule="auto"/>
        <w:tabs>
          <w:tab w:leader="none" w:pos="44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Parties each agree to indemnify the other against any harm suffered as a result of a breach of the confidentiality obligations contained in this Agreement on the part of their respective employees, agents and/or advisers.</w:t>
      </w:r>
    </w:p>
    <w:p>
      <w:pPr>
        <w:ind w:left="440" w:hanging="351"/>
        <w:spacing w:after="0"/>
        <w:tabs>
          <w:tab w:leader="none" w:pos="44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confidentiality obligations in this Agreement will continue to apply after the Closing Date of this Agreement without any limit in time.</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Severability</w:t>
      </w:r>
    </w:p>
    <w:p>
      <w:pPr>
        <w:spacing w:after="0" w:line="31" w:lineRule="exact"/>
        <w:rPr>
          <w:sz w:val="20"/>
          <w:szCs w:val="20"/>
          <w:color w:val="auto"/>
        </w:rPr>
      </w:pPr>
    </w:p>
    <w:p>
      <w:pPr>
        <w:ind w:left="440" w:right="100" w:hanging="351"/>
        <w:spacing w:after="0" w:line="250" w:lineRule="auto"/>
        <w:tabs>
          <w:tab w:leader="none" w:pos="44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Parties acknowledge that this Agreement is reasonable, valid, and enforceable; however, if any part of this Agreement is held by a court of competent jurisdiction to be invalid, it is the intent of the Parties that such provision be reduced in scope only to the extent deemed necessary to render the provision reasonable and enforceable and the remainder of the provisions of this Agreement will in no way be affected or invalidated as a result.</w:t>
      </w:r>
    </w:p>
    <w:p>
      <w:pPr>
        <w:spacing w:after="0" w:line="1" w:lineRule="exact"/>
        <w:rPr>
          <w:rFonts w:ascii="Times New Roman" w:cs="Times New Roman" w:eastAsia="Times New Roman" w:hAnsi="Times New Roman"/>
          <w:sz w:val="18"/>
          <w:szCs w:val="18"/>
          <w:color w:val="auto"/>
        </w:rPr>
      </w:pPr>
    </w:p>
    <w:p>
      <w:pPr>
        <w:ind w:left="440" w:right="120" w:hanging="351"/>
        <w:spacing w:after="0" w:line="255" w:lineRule="auto"/>
        <w:tabs>
          <w:tab w:leader="none" w:pos="44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Where any provision in this Agreement is found to be unenforceable, the Purchaser and the Seller will then make reasonable efforts to replace the invalid or unenforceable provision with a valid and enforceable substitute provision, the effect of which is as close as possible to the intended effect of the original invalid or unenforceable provision.</w:t>
      </w: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b w:val="1"/>
          <w:bCs w:val="1"/>
          <w:u w:val="single" w:color="auto"/>
          <w:color w:val="auto"/>
        </w:rPr>
        <w:t>General Provisions</w:t>
      </w:r>
    </w:p>
    <w:p>
      <w:pPr>
        <w:spacing w:after="0" w:line="31" w:lineRule="exact"/>
        <w:rPr>
          <w:sz w:val="20"/>
          <w:szCs w:val="20"/>
          <w:color w:val="auto"/>
        </w:rPr>
      </w:pPr>
    </w:p>
    <w:p>
      <w:pPr>
        <w:ind w:left="440" w:hanging="351"/>
        <w:spacing w:after="0" w:line="250" w:lineRule="auto"/>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contains all terms and conditions agreed to by the Parties. Statements or representations which may have been made by any Party to this Agreement in the negotiation stages of this Agreement may in some way be inconsistent with this final written Agreement. All such statements are declared to be of no value to either Party. Only the written terms of this Agreement will bind the Parties.</w:t>
      </w:r>
    </w:p>
    <w:p>
      <w:pPr>
        <w:spacing w:after="0" w:line="1" w:lineRule="exact"/>
        <w:rPr>
          <w:rFonts w:ascii="Times New Roman" w:cs="Times New Roman" w:eastAsia="Times New Roman" w:hAnsi="Times New Roman"/>
          <w:sz w:val="18"/>
          <w:szCs w:val="18"/>
          <w:color w:val="auto"/>
        </w:rPr>
      </w:pPr>
    </w:p>
    <w:p>
      <w:pPr>
        <w:ind w:left="440" w:hanging="351"/>
        <w:spacing w:after="0"/>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may only be amended or modified by a written instrument executed by all of the Parties.</w:t>
      </w:r>
    </w:p>
    <w:p>
      <w:pPr>
        <w:spacing w:after="0" w:line="9" w:lineRule="exact"/>
        <w:rPr>
          <w:rFonts w:ascii="Times New Roman" w:cs="Times New Roman" w:eastAsia="Times New Roman" w:hAnsi="Times New Roman"/>
          <w:sz w:val="18"/>
          <w:szCs w:val="18"/>
          <w:color w:val="auto"/>
        </w:rPr>
      </w:pPr>
    </w:p>
    <w:p>
      <w:pPr>
        <w:ind w:left="440" w:right="20" w:hanging="351"/>
        <w:spacing w:after="0" w:line="250" w:lineRule="auto"/>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waiver by one Party of any right or benefit provided in this Agreement does not infer or permit a further waiver of that right or benefit, nor does it infer or permit a waiver of any other right or benefit provided in this Agreement.</w:t>
      </w:r>
    </w:p>
    <w:p>
      <w:pPr>
        <w:ind w:left="440" w:hanging="351"/>
        <w:spacing w:after="0"/>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will not be assigned either in whole or in part by any Party without the written consent of the other Party.</w:t>
      </w:r>
    </w:p>
    <w:p>
      <w:pPr>
        <w:spacing w:after="0" w:line="9" w:lineRule="exact"/>
        <w:rPr>
          <w:rFonts w:ascii="Times New Roman" w:cs="Times New Roman" w:eastAsia="Times New Roman" w:hAnsi="Times New Roman"/>
          <w:sz w:val="18"/>
          <w:szCs w:val="18"/>
          <w:color w:val="auto"/>
        </w:rPr>
      </w:pPr>
    </w:p>
    <w:p>
      <w:pPr>
        <w:ind w:left="440" w:right="320" w:hanging="351"/>
        <w:spacing w:after="0" w:line="250" w:lineRule="auto"/>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will pass to the benefit of and be binding upon the Parties' respective heirs, executors, administrators, successors, and permitted assigns.</w:t>
      </w:r>
    </w:p>
    <w:p>
      <w:pPr>
        <w:ind w:left="440" w:right="180" w:hanging="351"/>
        <w:spacing w:after="0" w:line="250" w:lineRule="auto"/>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clauses, paragraphs, and subparagraphs contained in this Agreement are intended to be read and construed independently of each other. If any part of this Agreement is held to be invalid, this invalidity will not affect the operation of any other part of this Agreement.</w:t>
      </w:r>
    </w:p>
    <w:p>
      <w:pPr>
        <w:ind w:left="440" w:right="160" w:hanging="351"/>
        <w:spacing w:after="0" w:line="250" w:lineRule="auto"/>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of the rights, remedies and benefits provided in this Agreement will be cumulative and will not be exclusive of any other such rights, remedies and benefits allowed by law or equity.</w:t>
      </w:r>
    </w:p>
    <w:p>
      <w:pPr>
        <w:ind w:left="440" w:hanging="351"/>
        <w:spacing w:after="0"/>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Time is of the essence in this Agreement.</w:t>
      </w:r>
    </w:p>
    <w:p>
      <w:pPr>
        <w:spacing w:after="0" w:line="9" w:lineRule="exact"/>
        <w:rPr>
          <w:rFonts w:ascii="Times New Roman" w:cs="Times New Roman" w:eastAsia="Times New Roman" w:hAnsi="Times New Roman"/>
          <w:sz w:val="18"/>
          <w:szCs w:val="18"/>
          <w:color w:val="auto"/>
        </w:rPr>
      </w:pPr>
    </w:p>
    <w:p>
      <w:pPr>
        <w:ind w:left="440" w:hanging="351"/>
        <w:spacing w:after="0"/>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may be executed in counterpart.</w:t>
      </w:r>
    </w:p>
    <w:p>
      <w:pPr>
        <w:spacing w:after="0" w:line="9" w:lineRule="exact"/>
        <w:rPr>
          <w:rFonts w:ascii="Times New Roman" w:cs="Times New Roman" w:eastAsia="Times New Roman" w:hAnsi="Times New Roman"/>
          <w:sz w:val="18"/>
          <w:szCs w:val="18"/>
          <w:color w:val="auto"/>
        </w:rPr>
      </w:pPr>
    </w:p>
    <w:p>
      <w:pPr>
        <w:jc w:val="both"/>
        <w:ind w:left="440" w:right="140" w:hanging="351"/>
        <w:spacing w:after="0" w:line="255" w:lineRule="auto"/>
        <w:tabs>
          <w:tab w:leader="none" w:pos="44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Headings are inserted for the convenience of the Parties only and are not to be considered when interpreting this Agreement. Words in the singular mean and include the plural and vice versa. Words in the masculine gender include the feminine gender and vice versa. Words in the neuter gender include the masculine gender and the feminine gender and vice versa.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99"/>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Signature page follows</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1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40"/>
          </w:cols>
          <w:pgMar w:left="320" w:top="792" w:right="439" w:bottom="1440" w:gutter="0" w:footer="0" w:header="0"/>
        </w:sectPr>
      </w:pPr>
    </w:p>
    <w:bookmarkStart w:id="10" w:name="page11"/>
    <w:bookmarkEnd w:id="10"/>
    <w:p>
      <w:pPr>
        <w:spacing w:after="0"/>
        <w:rPr>
          <w:sz w:val="20"/>
          <w:szCs w:val="20"/>
          <w:color w:val="auto"/>
        </w:rPr>
      </w:pPr>
      <w:r>
        <w:rPr>
          <w:rFonts w:ascii="Times New Roman" w:cs="Times New Roman" w:eastAsia="Times New Roman" w:hAnsi="Times New Roman"/>
          <w:sz w:val="17"/>
          <w:szCs w:val="17"/>
          <w:b w:val="1"/>
          <w:bCs w:val="1"/>
          <w:color w:val="212126"/>
        </w:rPr>
        <w:t xml:space="preserve">IN WITNESS WHEREOF </w:t>
      </w:r>
      <w:r>
        <w:rPr>
          <w:rFonts w:ascii="Times New Roman" w:cs="Times New Roman" w:eastAsia="Times New Roman" w:hAnsi="Times New Roman"/>
          <w:sz w:val="17"/>
          <w:szCs w:val="17"/>
          <w:color w:val="212126"/>
        </w:rPr>
        <w:t>the Parties have duly affixed their signatures under hand and seal on this 30th day of November, 2022</w:t>
      </w:r>
    </w:p>
    <w:p>
      <w:pPr>
        <w:sectPr>
          <w:pgSz w:w="11900" w:h="16838" w:orient="portrait"/>
          <w:cols w:equalWidth="0" w:num="1">
            <w:col w:w="10139"/>
          </w:cols>
          <w:pgMar w:left="320" w:top="792" w:right="1440" w:bottom="1440" w:gutter="0" w:footer="0" w:header="0"/>
        </w:sectPr>
      </w:pPr>
    </w:p>
    <w:p>
      <w:pPr>
        <w:spacing w:after="0" w:line="200" w:lineRule="exact"/>
        <w:rPr>
          <w:sz w:val="20"/>
          <w:szCs w:val="20"/>
          <w:color w:val="auto"/>
        </w:rPr>
      </w:pPr>
    </w:p>
    <w:p>
      <w:pPr>
        <w:spacing w:after="0" w:line="257"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color w:val="auto"/>
        </w:rPr>
        <w:t>Nocera, Inc.</w:t>
      </w: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color w:val="auto"/>
        </w:rPr>
        <w:t xml:space="preserve">Per: </w:t>
      </w:r>
      <w:r>
        <w:rPr>
          <w:rFonts w:ascii="Times New Roman" w:cs="Times New Roman" w:eastAsia="Times New Roman" w:hAnsi="Times New Roman"/>
          <w:sz w:val="18"/>
          <w:szCs w:val="18"/>
          <w:i w:val="1"/>
          <w:iCs w:val="1"/>
          <w:color w:val="auto"/>
        </w:rPr>
        <w:t>/s/ Yin-Chieh Cheng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3783965</wp:posOffset>
            </wp:positionH>
            <wp:positionV relativeFrom="paragraph">
              <wp:posOffset>-6350</wp:posOffset>
            </wp:positionV>
            <wp:extent cx="1831975"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1831975" cy="82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i w:val="1"/>
          <w:iCs w:val="1"/>
          <w:color w:val="auto"/>
        </w:rPr>
        <w:t>/s/ Han-Chieh Shih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3571240</wp:posOffset>
            </wp:positionH>
            <wp:positionV relativeFrom="paragraph">
              <wp:posOffset>-6350</wp:posOffset>
            </wp:positionV>
            <wp:extent cx="2075815" cy="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2075815" cy="8255"/>
                    </a:xfrm>
                    <a:prstGeom prst="rect">
                      <a:avLst/>
                    </a:prstGeom>
                    <a:noFill/>
                  </pic:spPr>
                </pic:pic>
              </a:graphicData>
            </a:graphic>
          </wp:anchor>
        </w:drawing>
      </w:r>
    </w:p>
    <w:p>
      <w:pPr>
        <w:spacing w:after="0" w:line="9"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color w:val="auto"/>
        </w:rPr>
        <w:t>Han-Chieh Shih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ind w:left="3800"/>
        <w:spacing w:after="0"/>
        <w:rPr>
          <w:sz w:val="20"/>
          <w:szCs w:val="20"/>
          <w:color w:val="auto"/>
        </w:rPr>
      </w:pPr>
      <w:r>
        <w:rPr>
          <w:rFonts w:ascii="Times New Roman" w:cs="Times New Roman" w:eastAsia="Times New Roman" w:hAnsi="Times New Roman"/>
          <w:sz w:val="17"/>
          <w:szCs w:val="17"/>
          <w:i w:val="1"/>
          <w:iCs w:val="1"/>
          <w:color w:val="212126"/>
        </w:rPr>
        <w:t>Signature page to Purchase of Business Agreement</w:t>
      </w: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ind w:left="5580"/>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0139"/>
      </w:cols>
      <w:pgMar w:left="320" w:top="792" w:right="144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40E0F76"/>
    <w:multiLevelType w:val="hybridMultilevel"/>
    <w:lvl w:ilvl="0">
      <w:lvlJc w:val="left"/>
      <w:lvlText w:val="☐"/>
      <w:numFmt w:val="bullet"/>
      <w:start w:val="1"/>
    </w:lvl>
  </w:abstractNum>
  <w:abstractNum w:abstractNumId="1">
    <w:nsid w:val="3352255A"/>
    <w:multiLevelType w:val="hybridMultilevel"/>
    <w:lvl w:ilvl="0">
      <w:lvlJc w:val="left"/>
      <w:lvlText w:val="%1"/>
      <w:numFmt w:val="decimal"/>
      <w:start w:val="104"/>
    </w:lvl>
  </w:abstractNum>
  <w:abstractNum w:abstractNumId="2">
    <w:nsid w:val="109CF92E"/>
    <w:multiLevelType w:val="hybridMultilevel"/>
    <w:lvl w:ilvl="0">
      <w:lvlJc w:val="left"/>
      <w:lvlText w:val="%1."/>
      <w:numFmt w:val="lowerLetter"/>
      <w:start w:val="1"/>
    </w:lvl>
  </w:abstractNum>
  <w:abstractNum w:abstractNumId="3">
    <w:nsid w:val="DED7263"/>
    <w:multiLevelType w:val="hybridMultilevel"/>
    <w:lvl w:ilvl="0">
      <w:lvlJc w:val="left"/>
      <w:lvlText w:val="%1."/>
      <w:numFmt w:val="decimal"/>
      <w:start w:val="1"/>
    </w:lvl>
    <w:lvl w:ilvl="1">
      <w:lvlJc w:val="left"/>
      <w:lvlText w:val="%2."/>
      <w:numFmt w:val="lowerLetter"/>
      <w:start w:val="1"/>
    </w:lvl>
  </w:abstractNum>
  <w:abstractNum w:abstractNumId="4">
    <w:nsid w:val="7FDCC233"/>
    <w:multiLevelType w:val="hybridMultilevel"/>
    <w:lvl w:ilvl="0">
      <w:lvlJc w:val="left"/>
      <w:lvlText w:val="%1."/>
      <w:numFmt w:val="decimal"/>
      <w:start w:val="2"/>
    </w:lvl>
  </w:abstractNum>
  <w:abstractNum w:abstractNumId="5">
    <w:nsid w:val="1BEFD79F"/>
    <w:multiLevelType w:val="hybridMultilevel"/>
    <w:lvl w:ilvl="0">
      <w:lvlJc w:val="left"/>
      <w:lvlText w:val="%1."/>
      <w:numFmt w:val="decimal"/>
      <w:start w:val="3"/>
    </w:lvl>
  </w:abstractNum>
  <w:abstractNum w:abstractNumId="6">
    <w:nsid w:val="41A7C4C9"/>
    <w:multiLevelType w:val="hybridMultilevel"/>
    <w:lvl w:ilvl="0">
      <w:lvlJc w:val="left"/>
      <w:lvlText w:val="%1."/>
      <w:numFmt w:val="decimal"/>
      <w:start w:val="5"/>
    </w:lvl>
    <w:lvl w:ilvl="1">
      <w:lvlJc w:val="left"/>
      <w:lvlText w:val="%2."/>
      <w:numFmt w:val="lowerLetter"/>
      <w:start w:val="1"/>
    </w:lvl>
  </w:abstractNum>
  <w:abstractNum w:abstractNumId="7">
    <w:nsid w:val="6B68079A"/>
    <w:multiLevelType w:val="hybridMultilevel"/>
    <w:lvl w:ilvl="0">
      <w:lvlJc w:val="left"/>
      <w:lvlText w:val="%1."/>
      <w:numFmt w:val="decimal"/>
      <w:start w:val="7"/>
    </w:lvl>
  </w:abstractNum>
  <w:abstractNum w:abstractNumId="8">
    <w:nsid w:val="4E6AFB66"/>
    <w:multiLevelType w:val="hybridMultilevel"/>
    <w:lvl w:ilvl="0">
      <w:lvlJc w:val="left"/>
      <w:lvlText w:val="%1."/>
      <w:numFmt w:val="decimal"/>
      <w:start w:val="9"/>
    </w:lvl>
    <w:lvl w:ilvl="1">
      <w:lvlJc w:val="left"/>
      <w:lvlText w:val="%2."/>
      <w:numFmt w:val="lowerLetter"/>
      <w:start w:val="1"/>
    </w:lvl>
  </w:abstractNum>
  <w:abstractNum w:abstractNumId="9">
    <w:nsid w:val="25E45D32"/>
    <w:multiLevelType w:val="hybridMultilevel"/>
    <w:lvl w:ilvl="0">
      <w:lvlJc w:val="left"/>
      <w:lvlText w:val="%1"/>
      <w:numFmt w:val="decimal"/>
      <w:start w:val="1"/>
    </w:lvl>
    <w:lvl w:ilvl="1">
      <w:lvlJc w:val="left"/>
      <w:lvlText w:val="%2."/>
      <w:numFmt w:val="lowerLetter"/>
      <w:start w:val="10"/>
    </w:lvl>
  </w:abstractNum>
  <w:abstractNum w:abstractNumId="10">
    <w:nsid w:val="519B500D"/>
    <w:multiLevelType w:val="hybridMultilevel"/>
    <w:lvl w:ilvl="0">
      <w:lvlJc w:val="left"/>
      <w:lvlText w:val="%1."/>
      <w:numFmt w:val="decimal"/>
      <w:start w:val="10"/>
    </w:lvl>
    <w:lvl w:ilvl="1">
      <w:lvlJc w:val="left"/>
      <w:lvlText w:val="%2"/>
      <w:numFmt w:val="lowerLetter"/>
      <w:start w:val="1"/>
    </w:lvl>
  </w:abstractNum>
  <w:abstractNum w:abstractNumId="11">
    <w:nsid w:val="431BD7B7"/>
    <w:multiLevelType w:val="hybridMultilevel"/>
    <w:lvl w:ilvl="0">
      <w:lvlJc w:val="left"/>
      <w:lvlText w:val="%1."/>
      <w:numFmt w:val="decimal"/>
      <w:start w:val="15"/>
    </w:lvl>
    <w:lvl w:ilvl="1">
      <w:lvlJc w:val="left"/>
      <w:lvlText w:val="%2."/>
      <w:numFmt w:val="lowerLetter"/>
      <w:start w:val="1"/>
    </w:lvl>
  </w:abstractNum>
  <w:abstractNum w:abstractNumId="12">
    <w:nsid w:val="3F2DBA31"/>
    <w:multiLevelType w:val="hybridMultilevel"/>
    <w:lvl w:ilvl="0">
      <w:lvlJc w:val="left"/>
      <w:lvlText w:val="%1."/>
      <w:numFmt w:val="decimal"/>
      <w:start w:val="16"/>
    </w:lvl>
  </w:abstractNum>
  <w:abstractNum w:abstractNumId="13">
    <w:nsid w:val="7C83E458"/>
    <w:multiLevelType w:val="hybridMultilevel"/>
    <w:lvl w:ilvl="0">
      <w:lvlJc w:val="left"/>
      <w:lvlText w:val="%1."/>
      <w:numFmt w:val="decimal"/>
      <w:start w:val="21"/>
    </w:lvl>
    <w:lvl w:ilvl="1">
      <w:lvlJc w:val="left"/>
      <w:lvlText w:val="%2."/>
      <w:numFmt w:val="lowerLetter"/>
      <w:start w:val="1"/>
    </w:lvl>
  </w:abstractNum>
  <w:abstractNum w:abstractNumId="14">
    <w:nsid w:val="257130A3"/>
    <w:multiLevelType w:val="hybridMultilevel"/>
    <w:lvl w:ilvl="0">
      <w:lvlJc w:val="left"/>
      <w:lvlText w:val="%1."/>
      <w:numFmt w:val="decimal"/>
      <w:start w:val="22"/>
    </w:lvl>
    <w:lvl w:ilvl="1">
      <w:lvlJc w:val="left"/>
      <w:lvlText w:val="%2."/>
      <w:numFmt w:val="lowerLetter"/>
      <w:start w:val="1"/>
    </w:lvl>
  </w:abstractNum>
  <w:abstractNum w:abstractNumId="15">
    <w:nsid w:val="62BBD95A"/>
    <w:multiLevelType w:val="hybridMultilevel"/>
    <w:lvl w:ilvl="0">
      <w:lvlJc w:val="left"/>
      <w:lvlText w:val="%1."/>
      <w:numFmt w:val="decimal"/>
      <w:start w:val="23"/>
    </w:lvl>
  </w:abstractNum>
  <w:abstractNum w:abstractNumId="16">
    <w:nsid w:val="436C6125"/>
    <w:multiLevelType w:val="hybridMultilevel"/>
    <w:lvl w:ilvl="0">
      <w:lvlJc w:val="left"/>
      <w:lvlText w:val="%1."/>
      <w:numFmt w:val="decimal"/>
      <w:start w:val="24"/>
    </w:lvl>
  </w:abstractNum>
  <w:abstractNum w:abstractNumId="17">
    <w:nsid w:val="628C895D"/>
    <w:multiLevelType w:val="hybridMultilevel"/>
    <w:lvl w:ilvl="0">
      <w:lvlJc w:val="left"/>
      <w:lvlText w:val="%1."/>
      <w:numFmt w:val="decimal"/>
      <w:start w:val="25"/>
    </w:lvl>
  </w:abstractNum>
  <w:abstractNum w:abstractNumId="18">
    <w:nsid w:val="333AB105"/>
    <w:multiLevelType w:val="hybridMultilevel"/>
    <w:lvl w:ilvl="0">
      <w:lvlJc w:val="left"/>
      <w:lvlText w:val="%1."/>
      <w:numFmt w:val="decimal"/>
      <w:start w:val="31"/>
    </w:lvl>
  </w:abstractNum>
  <w:abstractNum w:abstractNumId="19">
    <w:nsid w:val="721DA317"/>
    <w:multiLevelType w:val="hybridMultilevel"/>
    <w:lvl w:ilvl="0">
      <w:lvlJc w:val="left"/>
      <w:lvlText w:val="%1."/>
      <w:numFmt w:val="decimal"/>
      <w:start w:val="33"/>
    </w:lvl>
  </w:abstractNum>
  <w:abstractNum w:abstractNumId="20">
    <w:nsid w:val="2443A858"/>
    <w:multiLevelType w:val="hybridMultilevel"/>
    <w:lvl w:ilvl="0">
      <w:lvlJc w:val="left"/>
      <w:lvlText w:val="%1."/>
      <w:numFmt w:val="decimal"/>
      <w:start w:val="36"/>
    </w:lvl>
  </w:abstractNum>
  <w:abstractNum w:abstractNumId="21">
    <w:nsid w:val="2D1D5AE9"/>
    <w:multiLevelType w:val="hybridMultilevel"/>
    <w:lvl w:ilvl="0">
      <w:lvlJc w:val="left"/>
      <w:lvlText w:val="%1."/>
      <w:numFmt w:val="decimal"/>
      <w:start w:val="38"/>
    </w:lvl>
    <w:lvl w:ilvl="1">
      <w:lvlJc w:val="left"/>
      <w:lvlText w:val="%2."/>
      <w:numFmt w:val="lowerLetter"/>
      <w:start w:val="1"/>
    </w:lvl>
  </w:abstractNum>
  <w:abstractNum w:abstractNumId="22">
    <w:nsid w:val="6763845E"/>
    <w:multiLevelType w:val="hybridMultilevel"/>
    <w:lvl w:ilvl="0">
      <w:lvlJc w:val="left"/>
      <w:lvlText w:val="%1."/>
      <w:numFmt w:val="decimal"/>
      <w:start w:val="42"/>
    </w:lvl>
  </w:abstractNum>
  <w:abstractNum w:abstractNumId="23">
    <w:nsid w:val="75A2A8D4"/>
    <w:multiLevelType w:val="hybridMultilevel"/>
    <w:lvl w:ilvl="0">
      <w:lvlJc w:val="left"/>
      <w:lvlText w:val="%1."/>
      <w:numFmt w:val="decimal"/>
      <w:start w:val="44"/>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2022-12-02T16:11:36Z</dcterms:created>
  <dcterms:modified xsi:type="dcterms:W3CDTF">2022-12-02T16:11:36Z</dcterms:modified>
</cp:coreProperties>
</file>