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3"/>
          <w:szCs w:val="13"/>
          <w:u w:val="single" w:color="auto"/>
          <w:color w:val="0000EE"/>
        </w:rPr>
        <w:t>Table of Contents</w:t>
      </w:r>
    </w:p>
    <w:p>
      <w:pPr>
        <w:spacing w:after="0" w:line="19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198" w:lineRule="exact"/>
        <w:rPr>
          <w:sz w:val="24"/>
          <w:szCs w:val="24"/>
          <w:color w:val="auto"/>
        </w:rPr>
      </w:pPr>
    </w:p>
    <w:p>
      <w:pPr>
        <w:jc w:val="center"/>
        <w:spacing w:after="0"/>
        <w:rPr>
          <w:sz w:val="20"/>
          <w:szCs w:val="20"/>
          <w:color w:val="auto"/>
        </w:rPr>
      </w:pPr>
      <w:r>
        <w:rPr>
          <w:rFonts w:ascii="Arial" w:cs="Arial" w:eastAsia="Arial" w:hAnsi="Arial"/>
          <w:sz w:val="22"/>
          <w:szCs w:val="22"/>
          <w:b w:val="1"/>
          <w:bCs w:val="1"/>
          <w:color w:val="auto"/>
        </w:rPr>
        <w:t>FORM 10-Q</w:t>
      </w:r>
    </w:p>
    <w:p>
      <w:pPr>
        <w:spacing w:after="0" w:line="21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x QUARTERLY REPORT PURSUANT TO SECTION 13 OR 15(d) OF THE SECURITIES EXCHANGE ACT OF 1934</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SEPTEMBER 30, 2023</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225" w:lineRule="exact"/>
        <w:rPr>
          <w:sz w:val="24"/>
          <w:szCs w:val="24"/>
          <w:color w:val="auto"/>
        </w:rPr>
      </w:pPr>
    </w:p>
    <w:p>
      <w:pPr>
        <w:ind w:left="2960" w:right="940" w:hanging="2019"/>
        <w:spacing w:after="0" w:line="500" w:lineRule="auto"/>
        <w:tabs>
          <w:tab w:leader="none" w:pos="1154"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 FOR THE TRANSITION PERIOD FROM _______ TO ___________</w:t>
      </w:r>
    </w:p>
    <w:p>
      <w:pPr>
        <w:spacing w:after="0" w:line="1" w:lineRule="exact"/>
        <w:rPr>
          <w:rFonts w:ascii="MS PGothic" w:cs="MS PGothic" w:eastAsia="MS PGothic" w:hAnsi="MS PGothic"/>
          <w:sz w:val="18"/>
          <w:szCs w:val="18"/>
          <w:color w:val="auto"/>
        </w:rPr>
      </w:pPr>
    </w:p>
    <w:p>
      <w:pPr>
        <w:ind w:left="4160"/>
        <w:spacing w:after="0"/>
        <w:rPr>
          <w:rFonts w:ascii="MS PGothic" w:cs="MS PGothic" w:eastAsia="MS PGothic" w:hAnsi="MS PGothic"/>
          <w:sz w:val="18"/>
          <w:szCs w:val="18"/>
          <w:color w:val="auto"/>
        </w:rPr>
      </w:pPr>
      <w:r>
        <w:rPr>
          <w:rFonts w:ascii="Arial" w:cs="Arial" w:eastAsia="Arial" w:hAnsi="Arial"/>
          <w:sz w:val="18"/>
          <w:szCs w:val="18"/>
          <w:b w:val="1"/>
          <w:bCs w:val="1"/>
          <w:color w:val="auto"/>
        </w:rPr>
        <w:t>COMMISSION FILE NO.: 001-41434</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NOCERA,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574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Nevada</w:t>
            </w:r>
          </w:p>
        </w:tc>
        <w:tc>
          <w:tcPr>
            <w:tcW w:w="5500" w:type="dxa"/>
            <w:vAlign w:val="bottom"/>
          </w:tcPr>
          <w:p>
            <w:pPr>
              <w:jc w:val="right"/>
              <w:ind w:right="2230"/>
              <w:spacing w:after="0"/>
              <w:rPr>
                <w:sz w:val="20"/>
                <w:szCs w:val="20"/>
                <w:color w:val="auto"/>
              </w:rPr>
            </w:pPr>
            <w:r>
              <w:rPr>
                <w:rFonts w:ascii="Arial" w:cs="Arial" w:eastAsia="Arial" w:hAnsi="Arial"/>
                <w:sz w:val="18"/>
                <w:szCs w:val="18"/>
                <w:b w:val="1"/>
                <w:bCs w:val="1"/>
                <w:color w:val="auto"/>
              </w:rPr>
              <w:t>16-1626611</w:t>
            </w:r>
          </w:p>
        </w:tc>
      </w:tr>
      <w:tr>
        <w:trPr>
          <w:trHeight w:val="224"/>
        </w:trPr>
        <w:tc>
          <w:tcPr>
            <w:tcW w:w="55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(State or other jurisdiction of incorporation)</w:t>
            </w:r>
          </w:p>
        </w:tc>
        <w:tc>
          <w:tcPr>
            <w:tcW w:w="220" w:type="dxa"/>
            <w:vAlign w:val="bottom"/>
          </w:tcPr>
          <w:p>
            <w:pPr>
              <w:spacing w:after="0"/>
              <w:rPr>
                <w:sz w:val="19"/>
                <w:szCs w:val="19"/>
                <w:color w:val="auto"/>
              </w:rPr>
            </w:pPr>
          </w:p>
        </w:tc>
        <w:tc>
          <w:tcPr>
            <w:tcW w:w="55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(IRS Employer Identification No.)</w:t>
            </w:r>
          </w:p>
        </w:tc>
      </w:tr>
    </w:tbl>
    <w:p>
      <w:pPr>
        <w:spacing w:after="0" w:line="183"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3F (Building B), No. 185, Sec. 1, Datong Rd., Xizhi Dist., New Taipei City 221, Taiwan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 None</w:t>
      </w:r>
    </w:p>
    <w:p>
      <w:pPr>
        <w:spacing w:after="0" w:line="219" w:lineRule="exact"/>
        <w:rPr>
          <w:sz w:val="24"/>
          <w:szCs w:val="24"/>
          <w:color w:val="auto"/>
        </w:rPr>
      </w:pPr>
    </w:p>
    <w:tbl>
      <w:tblPr>
        <w:tblLayout w:type="fixed"/>
        <w:tblInd w:w="10" w:type="dxa"/>
        <w:tblCellMar>
          <w:top w:w="0" w:type="dxa"/>
          <w:left w:w="0" w:type="dxa"/>
          <w:bottom w:w="0" w:type="dxa"/>
          <w:right w:w="0" w:type="dxa"/>
        </w:tblCellMar>
      </w:tblPr>
      <w:tr>
        <w:trPr>
          <w:trHeight w:val="215"/>
        </w:trPr>
        <w:tc>
          <w:tcPr>
            <w:tcW w:w="3740" w:type="dxa"/>
            <w:vAlign w:val="bottom"/>
            <w:tcBorders>
              <w:top w:val="single" w:sz="8" w:color="auto"/>
              <w:left w:val="single" w:sz="8" w:color="auto"/>
              <w:right w:val="single" w:sz="8" w:color="auto"/>
            </w:tcBorders>
          </w:tcPr>
          <w:p>
            <w:pPr>
              <w:spacing w:after="0"/>
              <w:rPr>
                <w:sz w:val="18"/>
                <w:szCs w:val="18"/>
                <w:color w:val="auto"/>
              </w:rPr>
            </w:pPr>
          </w:p>
        </w:tc>
        <w:tc>
          <w:tcPr>
            <w:tcW w:w="3800" w:type="dxa"/>
            <w:vAlign w:val="bottom"/>
            <w:tcBorders>
              <w:top w:val="single" w:sz="8" w:color="auto"/>
              <w:right w:val="single" w:sz="8" w:color="auto"/>
            </w:tcBorders>
          </w:tcPr>
          <w:p>
            <w:pPr>
              <w:spacing w:after="0"/>
              <w:rPr>
                <w:sz w:val="18"/>
                <w:szCs w:val="18"/>
                <w:color w:val="auto"/>
              </w:rPr>
            </w:pPr>
          </w:p>
        </w:tc>
        <w:tc>
          <w:tcPr>
            <w:tcW w:w="3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w:t>
            </w:r>
          </w:p>
        </w:tc>
      </w:tr>
      <w:tr>
        <w:trPr>
          <w:trHeight w:val="230"/>
        </w:trPr>
        <w:tc>
          <w:tcPr>
            <w:tcW w:w="3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3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Trading Symbol(s)</w:t>
            </w:r>
          </w:p>
        </w:tc>
        <w:tc>
          <w:tcPr>
            <w:tcW w:w="3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registered</w:t>
            </w:r>
          </w:p>
        </w:tc>
      </w:tr>
      <w:tr>
        <w:trPr>
          <w:trHeight w:val="210"/>
        </w:trPr>
        <w:tc>
          <w:tcPr>
            <w:tcW w:w="374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Common Stock, par value $0.001 per share</w:t>
            </w:r>
          </w:p>
        </w:tc>
        <w:tc>
          <w:tcPr>
            <w:tcW w:w="38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7"/>
              </w:rPr>
              <w:t>NCRA</w:t>
            </w:r>
          </w:p>
        </w:tc>
        <w:tc>
          <w:tcPr>
            <w:tcW w:w="370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The Nasdaq Stock Market LLC</w:t>
            </w:r>
          </w:p>
        </w:tc>
      </w:tr>
    </w:tbl>
    <w:p>
      <w:pPr>
        <w:spacing w:after="0" w:line="202" w:lineRule="exact"/>
        <w:rPr>
          <w:sz w:val="24"/>
          <w:szCs w:val="24"/>
          <w:color w:val="auto"/>
        </w:rPr>
      </w:pPr>
    </w:p>
    <w:p>
      <w:pPr>
        <w:jc w:val="both"/>
        <w:ind w:firstLine="713"/>
        <w:spacing w:after="0" w:line="230"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x No </w:t>
      </w:r>
      <w:r>
        <w:rPr>
          <w:rFonts w:ascii="MS PGothic" w:cs="MS PGothic" w:eastAsia="MS PGothic" w:hAnsi="MS PGothic"/>
          <w:sz w:val="18"/>
          <w:szCs w:val="18"/>
          <w:color w:val="auto"/>
        </w:rPr>
        <w:t>☐</w:t>
      </w:r>
    </w:p>
    <w:p>
      <w:pPr>
        <w:spacing w:after="0" w:line="176" w:lineRule="exact"/>
        <w:rPr>
          <w:sz w:val="24"/>
          <w:szCs w:val="24"/>
          <w:color w:val="auto"/>
        </w:rPr>
      </w:pPr>
    </w:p>
    <w:p>
      <w:pPr>
        <w:jc w:val="both"/>
        <w:ind w:firstLine="713"/>
        <w:spacing w:after="0" w:line="230"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x No </w:t>
      </w:r>
      <w:r>
        <w:rPr>
          <w:rFonts w:ascii="MS PGothic" w:cs="MS PGothic" w:eastAsia="MS PGothic" w:hAnsi="MS PGothic"/>
          <w:sz w:val="18"/>
          <w:szCs w:val="18"/>
          <w:color w:val="auto"/>
        </w:rPr>
        <w:t>☐</w:t>
      </w:r>
    </w:p>
    <w:p>
      <w:pPr>
        <w:spacing w:after="0" w:line="176" w:lineRule="exact"/>
        <w:rPr>
          <w:sz w:val="24"/>
          <w:szCs w:val="24"/>
          <w:color w:val="auto"/>
        </w:rPr>
      </w:pPr>
    </w:p>
    <w:p>
      <w:pPr>
        <w:jc w:val="both"/>
        <w:ind w:firstLine="765"/>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emerging growth company. See the definitions of “large accelerated filer,” “accelerated filer”, “small reporting company” and “emerging growth company” in Rule 12b-2 of the Exchange Act.</w:t>
      </w:r>
    </w:p>
    <w:p>
      <w:pPr>
        <w:sectPr>
          <w:pgSz w:w="11900" w:h="16838" w:orient="portrait"/>
          <w:cols w:equalWidth="0" w:num="1">
            <w:col w:w="11240"/>
          </w:cols>
          <w:pgMar w:left="320" w:top="233" w:right="339" w:bottom="1440" w:gutter="0" w:footer="0" w:header="0"/>
        </w:sectPr>
      </w:pPr>
    </w:p>
    <w:p>
      <w:pPr>
        <w:spacing w:after="0" w:line="139"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Large accelerated filer </w:t>
      </w:r>
      <w:r>
        <w:rPr>
          <w:rFonts w:ascii="MS PGothic" w:cs="MS PGothic" w:eastAsia="MS PGothic" w:hAnsi="MS PGothic"/>
          <w:sz w:val="16"/>
          <w:szCs w:val="16"/>
          <w:color w:val="auto"/>
        </w:rPr>
        <w:t>☐</w:t>
      </w:r>
    </w:p>
    <w:p>
      <w:pPr>
        <w:spacing w:after="0" w:line="93" w:lineRule="exact"/>
        <w:rPr>
          <w:sz w:val="24"/>
          <w:szCs w:val="24"/>
          <w:color w:val="auto"/>
        </w:rPr>
      </w:pPr>
    </w:p>
    <w:p>
      <w:pPr>
        <w:spacing w:after="0"/>
        <w:rPr>
          <w:sz w:val="20"/>
          <w:szCs w:val="20"/>
          <w:color w:val="auto"/>
        </w:rPr>
      </w:pPr>
      <w:r>
        <w:rPr>
          <w:rFonts w:ascii="Arial" w:cs="Arial" w:eastAsia="Arial" w:hAnsi="Arial"/>
          <w:sz w:val="18"/>
          <w:szCs w:val="18"/>
          <w:color w:val="auto"/>
        </w:rPr>
        <w:t>Non-accelerated filer x</w:t>
      </w:r>
    </w:p>
    <w:p>
      <w:pPr>
        <w:spacing w:after="0" w:line="20" w:lineRule="exact"/>
        <w:rPr>
          <w:sz w:val="24"/>
          <w:szCs w:val="24"/>
          <w:color w:val="auto"/>
        </w:rPr>
      </w:pPr>
      <w:r>
        <w:rPr>
          <w:sz w:val="24"/>
          <w:szCs w:val="24"/>
          <w:color w:val="auto"/>
        </w:rPr>
        <w:br w:type="column"/>
      </w:r>
    </w:p>
    <w:p>
      <w:pPr>
        <w:spacing w:after="0" w:line="1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70" w:lineRule="exact"/>
        <w:rPr>
          <w:sz w:val="24"/>
          <w:szCs w:val="24"/>
          <w:color w:val="auto"/>
        </w:rPr>
      </w:pPr>
    </w:p>
    <w:p>
      <w:pPr>
        <w:spacing w:after="0"/>
        <w:rPr>
          <w:sz w:val="20"/>
          <w:szCs w:val="20"/>
          <w:color w:val="auto"/>
        </w:rPr>
      </w:pPr>
      <w:r>
        <w:rPr>
          <w:rFonts w:ascii="Arial" w:cs="Arial" w:eastAsia="Arial" w:hAnsi="Arial"/>
          <w:sz w:val="16"/>
          <w:szCs w:val="16"/>
          <w:color w:val="auto"/>
        </w:rPr>
        <w:t>Smaller reporting company x</w:t>
      </w:r>
    </w:p>
    <w:p>
      <w:pPr>
        <w:spacing w:after="0" w:line="30" w:lineRule="exact"/>
        <w:rPr>
          <w:sz w:val="24"/>
          <w:szCs w:val="24"/>
          <w:color w:val="auto"/>
        </w:rPr>
      </w:pPr>
    </w:p>
    <w:p>
      <w:pPr>
        <w:spacing w:after="0"/>
        <w:rPr>
          <w:sz w:val="20"/>
          <w:szCs w:val="20"/>
          <w:color w:val="auto"/>
        </w:rPr>
      </w:pPr>
      <w:r>
        <w:rPr>
          <w:rFonts w:ascii="Arial" w:cs="Arial" w:eastAsia="Arial" w:hAnsi="Arial"/>
          <w:sz w:val="16"/>
          <w:szCs w:val="16"/>
          <w:color w:val="auto"/>
        </w:rPr>
        <w:t>Emerging growth company x</w:t>
      </w:r>
    </w:p>
    <w:p>
      <w:pPr>
        <w:spacing w:after="0" w:line="200" w:lineRule="exact"/>
        <w:rPr>
          <w:sz w:val="24"/>
          <w:szCs w:val="24"/>
          <w:color w:val="auto"/>
        </w:rPr>
      </w:pPr>
    </w:p>
    <w:p>
      <w:pPr>
        <w:sectPr>
          <w:pgSz w:w="11900" w:h="16838" w:orient="portrait"/>
          <w:cols w:equalWidth="0" w:num="2">
            <w:col w:w="5920" w:space="720"/>
            <w:col w:w="4600"/>
          </w:cols>
          <w:pgMar w:left="320" w:top="233" w:right="339" w:bottom="1440" w:gutter="0" w:footer="0" w:header="0"/>
          <w:type w:val="continuous"/>
        </w:sectPr>
      </w:pPr>
    </w:p>
    <w:p>
      <w:pPr>
        <w:spacing w:after="0" w:line="34" w:lineRule="exact"/>
        <w:rPr>
          <w:sz w:val="24"/>
          <w:szCs w:val="24"/>
          <w:color w:val="auto"/>
        </w:rPr>
      </w:pPr>
    </w:p>
    <w:p>
      <w:pPr>
        <w:ind w:firstLine="716"/>
        <w:spacing w:after="0" w:line="238"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29" w:lineRule="exact"/>
        <w:rPr>
          <w:sz w:val="24"/>
          <w:szCs w:val="24"/>
          <w:color w:val="auto"/>
        </w:rPr>
      </w:pPr>
    </w:p>
    <w:p>
      <w:pPr>
        <w:ind w:left="720"/>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x</w:t>
      </w:r>
    </w:p>
    <w:p>
      <w:pPr>
        <w:spacing w:after="0" w:line="270" w:lineRule="exact"/>
        <w:rPr>
          <w:sz w:val="24"/>
          <w:szCs w:val="24"/>
          <w:color w:val="auto"/>
        </w:rPr>
      </w:pPr>
    </w:p>
    <w:p>
      <w:pPr>
        <w:ind w:left="720"/>
        <w:spacing w:after="0"/>
        <w:rPr>
          <w:sz w:val="20"/>
          <w:szCs w:val="20"/>
          <w:color w:val="auto"/>
        </w:rPr>
      </w:pPr>
      <w:r>
        <w:rPr>
          <w:rFonts w:ascii="Arial" w:cs="Arial" w:eastAsia="Arial" w:hAnsi="Arial"/>
          <w:sz w:val="18"/>
          <w:szCs w:val="18"/>
          <w:color w:val="auto"/>
        </w:rPr>
        <w:t>There were 10,039,295 shares outstanding of the registrant’s common stock, par value $0.001 per share, as of November 14,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357505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1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82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5840" w:type="dxa"/>
            <w:vAlign w:val="bottom"/>
            <w:gridSpan w:val="11"/>
          </w:tcPr>
          <w:p>
            <w:pPr>
              <w:ind w:left="140"/>
              <w:spacing w:after="0"/>
              <w:rPr>
                <w:sz w:val="20"/>
                <w:szCs w:val="20"/>
                <w:color w:val="auto"/>
              </w:rPr>
            </w:pPr>
            <w:r>
              <w:rPr>
                <w:rFonts w:ascii="Arial" w:cs="Arial" w:eastAsia="Arial" w:hAnsi="Arial"/>
                <w:sz w:val="18"/>
                <w:szCs w:val="18"/>
                <w:b w:val="1"/>
                <w:bCs w:val="1"/>
                <w:color w:val="auto"/>
              </w:rPr>
              <w:t>TABLE OF CONTENTS</w:t>
            </w:r>
          </w:p>
        </w:tc>
        <w:tc>
          <w:tcPr>
            <w:tcW w:w="400" w:type="dxa"/>
            <w:vAlign w:val="bottom"/>
          </w:tcPr>
          <w:p>
            <w:pPr>
              <w:spacing w:after="0"/>
              <w:rPr>
                <w:sz w:val="20"/>
                <w:szCs w:val="20"/>
                <w:color w:val="auto"/>
              </w:rPr>
            </w:pPr>
          </w:p>
        </w:tc>
      </w:tr>
      <w:tr>
        <w:trPr>
          <w:trHeight w:val="607"/>
        </w:trPr>
        <w:tc>
          <w:tcPr>
            <w:tcW w:w="10360" w:type="dxa"/>
            <w:vAlign w:val="bottom"/>
            <w:gridSpan w:val="25"/>
          </w:tcPr>
          <w:p>
            <w:pPr>
              <w:spacing w:after="0"/>
              <w:rPr>
                <w:sz w:val="20"/>
                <w:szCs w:val="20"/>
                <w:color w:val="auto"/>
              </w:rPr>
            </w:pPr>
            <w:r>
              <w:rPr>
                <w:rFonts w:ascii="Arial" w:cs="Arial" w:eastAsia="Arial" w:hAnsi="Arial"/>
                <w:sz w:val="18"/>
                <w:szCs w:val="18"/>
                <w:color w:val="0000EE"/>
              </w:rPr>
              <w:t>Cautionary Statement Regarding Forward-Looking Statements</w:t>
            </w:r>
          </w:p>
        </w:tc>
        <w:tc>
          <w:tcPr>
            <w:tcW w:w="400" w:type="dxa"/>
            <w:vAlign w:val="bottom"/>
          </w:tcPr>
          <w:p>
            <w:pPr>
              <w:jc w:val="center"/>
              <w:ind w:left="150"/>
              <w:spacing w:after="0"/>
              <w:rPr>
                <w:sz w:val="20"/>
                <w:szCs w:val="20"/>
                <w:color w:val="auto"/>
              </w:rPr>
            </w:pPr>
            <w:r>
              <w:rPr>
                <w:rFonts w:ascii="Arial" w:cs="Arial" w:eastAsia="Arial" w:hAnsi="Arial"/>
                <w:sz w:val="18"/>
                <w:szCs w:val="18"/>
                <w:color w:val="auto"/>
                <w:w w:val="79"/>
              </w:rPr>
              <w:t>3</w:t>
            </w:r>
          </w:p>
        </w:tc>
      </w:tr>
      <w:tr>
        <w:trPr>
          <w:trHeight w:val="412"/>
        </w:trPr>
        <w:tc>
          <w:tcPr>
            <w:tcW w:w="1700" w:type="dxa"/>
            <w:vAlign w:val="bottom"/>
            <w:tcBorders>
              <w:top w:val="single" w:sz="8" w:color="0000EE"/>
            </w:tcBorders>
            <w:gridSpan w:val="2"/>
          </w:tcPr>
          <w:p>
            <w:pPr>
              <w:spacing w:after="0"/>
              <w:rPr>
                <w:sz w:val="20"/>
                <w:szCs w:val="20"/>
                <w:color w:val="auto"/>
              </w:rPr>
            </w:pPr>
            <w:r>
              <w:rPr>
                <w:rFonts w:ascii="Arial" w:cs="Arial" w:eastAsia="Arial" w:hAnsi="Arial"/>
                <w:sz w:val="18"/>
                <w:szCs w:val="18"/>
                <w:b w:val="1"/>
                <w:bCs w:val="1"/>
                <w:color w:val="auto"/>
              </w:rPr>
              <w:t>PART I</w:t>
            </w:r>
          </w:p>
        </w:tc>
        <w:tc>
          <w:tcPr>
            <w:tcW w:w="2820" w:type="dxa"/>
            <w:vAlign w:val="bottom"/>
            <w:tcBorders>
              <w:top w:val="single" w:sz="8" w:color="0000EE"/>
            </w:tcBorders>
            <w:gridSpan w:val="12"/>
          </w:tcPr>
          <w:p>
            <w:pPr>
              <w:spacing w:after="0"/>
              <w:rPr>
                <w:sz w:val="20"/>
                <w:szCs w:val="20"/>
                <w:color w:val="auto"/>
              </w:rPr>
            </w:pPr>
            <w:r>
              <w:rPr>
                <w:rFonts w:ascii="Arial" w:cs="Arial" w:eastAsia="Arial" w:hAnsi="Arial"/>
                <w:sz w:val="18"/>
                <w:szCs w:val="18"/>
                <w:b w:val="1"/>
                <w:bCs w:val="1"/>
                <w:color w:val="0000EE"/>
              </w:rPr>
              <w:t>FINANCIAL INFORMATION</w:t>
            </w:r>
          </w:p>
        </w:tc>
        <w:tc>
          <w:tcPr>
            <w:tcW w:w="5840" w:type="dxa"/>
            <w:vAlign w:val="bottom"/>
            <w:gridSpan w:val="11"/>
          </w:tcPr>
          <w:p>
            <w:pPr>
              <w:spacing w:after="0"/>
              <w:rPr>
                <w:sz w:val="24"/>
                <w:szCs w:val="24"/>
                <w:color w:val="auto"/>
              </w:rPr>
            </w:pPr>
          </w:p>
        </w:tc>
        <w:tc>
          <w:tcPr>
            <w:tcW w:w="400" w:type="dxa"/>
            <w:vAlign w:val="bottom"/>
          </w:tcPr>
          <w:p>
            <w:pPr>
              <w:jc w:val="center"/>
              <w:ind w:left="150"/>
              <w:spacing w:after="0"/>
              <w:rPr>
                <w:sz w:val="20"/>
                <w:szCs w:val="20"/>
                <w:color w:val="auto"/>
              </w:rPr>
            </w:pPr>
            <w:r>
              <w:rPr>
                <w:rFonts w:ascii="Arial" w:cs="Arial" w:eastAsia="Arial" w:hAnsi="Arial"/>
                <w:sz w:val="18"/>
                <w:szCs w:val="18"/>
                <w:color w:val="auto"/>
                <w:w w:val="79"/>
              </w:rPr>
              <w:t>4</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auto"/>
              </w:rPr>
              <w:t>ITEM 1.</w:t>
            </w:r>
          </w:p>
        </w:tc>
        <w:tc>
          <w:tcPr>
            <w:tcW w:w="6720" w:type="dxa"/>
            <w:vAlign w:val="bottom"/>
            <w:tcBorders>
              <w:bottom w:val="single" w:sz="8" w:color="0000EE"/>
            </w:tcBorders>
            <w:gridSpan w:val="17"/>
          </w:tcPr>
          <w:p>
            <w:pPr>
              <w:spacing w:after="0"/>
              <w:rPr>
                <w:sz w:val="20"/>
                <w:szCs w:val="20"/>
                <w:color w:val="auto"/>
              </w:rPr>
            </w:pPr>
            <w:r>
              <w:rPr>
                <w:rFonts w:ascii="Arial" w:cs="Arial" w:eastAsia="Arial" w:hAnsi="Arial"/>
                <w:sz w:val="18"/>
                <w:szCs w:val="18"/>
                <w:color w:val="0000EE"/>
                <w:w w:val="97"/>
              </w:rPr>
              <w:t>INTERIM CONDENSED CONSOLIDATED FINANCIAL STATEMENTS (UNAUDITED)</w:t>
            </w:r>
          </w:p>
        </w:tc>
        <w:tc>
          <w:tcPr>
            <w:tcW w:w="1940" w:type="dxa"/>
            <w:vAlign w:val="bottom"/>
            <w:gridSpan w:val="6"/>
          </w:tcPr>
          <w:p>
            <w:pPr>
              <w:spacing w:after="0"/>
              <w:rPr>
                <w:sz w:val="24"/>
                <w:szCs w:val="24"/>
                <w:color w:val="auto"/>
              </w:rPr>
            </w:pPr>
          </w:p>
        </w:tc>
        <w:tc>
          <w:tcPr>
            <w:tcW w:w="400" w:type="dxa"/>
            <w:vAlign w:val="bottom"/>
          </w:tcPr>
          <w:p>
            <w:pPr>
              <w:jc w:val="center"/>
              <w:ind w:left="150"/>
              <w:spacing w:after="0"/>
              <w:rPr>
                <w:sz w:val="20"/>
                <w:szCs w:val="20"/>
                <w:color w:val="auto"/>
              </w:rPr>
            </w:pPr>
            <w:r>
              <w:rPr>
                <w:rFonts w:ascii="Arial" w:cs="Arial" w:eastAsia="Arial" w:hAnsi="Arial"/>
                <w:sz w:val="18"/>
                <w:szCs w:val="18"/>
                <w:color w:val="auto"/>
                <w:w w:val="79"/>
              </w:rPr>
              <w:t>4</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000" w:type="dxa"/>
            <w:vAlign w:val="bottom"/>
            <w:tcBorders>
              <w:bottom w:val="single" w:sz="8" w:color="0000EE"/>
            </w:tcBorders>
            <w:gridSpan w:val="14"/>
          </w:tcPr>
          <w:p>
            <w:pPr>
              <w:spacing w:after="0" w:line="196" w:lineRule="exact"/>
              <w:rPr>
                <w:sz w:val="20"/>
                <w:szCs w:val="20"/>
                <w:color w:val="auto"/>
              </w:rPr>
            </w:pPr>
            <w:r>
              <w:rPr>
                <w:rFonts w:ascii="Arial" w:cs="Arial" w:eastAsia="Arial" w:hAnsi="Arial"/>
                <w:sz w:val="18"/>
                <w:szCs w:val="18"/>
                <w:color w:val="0000EE"/>
                <w:w w:val="96"/>
              </w:rPr>
              <w:t>INTERIM UNAUDITED CONDENSED CONSOLIDATED BALANCE SHEETS</w:t>
            </w:r>
          </w:p>
        </w:tc>
        <w:tc>
          <w:tcPr>
            <w:tcW w:w="2660" w:type="dxa"/>
            <w:vAlign w:val="bottom"/>
            <w:gridSpan w:val="9"/>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4</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7440" w:type="dxa"/>
            <w:vAlign w:val="bottom"/>
            <w:tcBorders>
              <w:bottom w:val="single" w:sz="8" w:color="0000EE"/>
            </w:tcBorders>
            <w:gridSpan w:val="21"/>
          </w:tcPr>
          <w:p>
            <w:pPr>
              <w:spacing w:after="0" w:line="196" w:lineRule="exact"/>
              <w:rPr>
                <w:sz w:val="20"/>
                <w:szCs w:val="20"/>
                <w:color w:val="auto"/>
              </w:rPr>
            </w:pPr>
            <w:r>
              <w:rPr>
                <w:rFonts w:ascii="Arial" w:cs="Arial" w:eastAsia="Arial" w:hAnsi="Arial"/>
                <w:sz w:val="18"/>
                <w:szCs w:val="18"/>
                <w:color w:val="0000EE"/>
                <w:w w:val="95"/>
              </w:rPr>
              <w:t>INTERIM UNAUDITED CONDENSED CONSOLIDATED STATEMENTS OF OPERATIONS AND</w:t>
            </w:r>
          </w:p>
        </w:tc>
        <w:tc>
          <w:tcPr>
            <w:tcW w:w="1220" w:type="dxa"/>
            <w:vAlign w:val="bottom"/>
            <w:gridSpan w:val="2"/>
          </w:tcPr>
          <w:p>
            <w:pPr>
              <w:spacing w:after="0"/>
              <w:rPr>
                <w:sz w:val="17"/>
                <w:szCs w:val="17"/>
                <w:color w:val="auto"/>
              </w:rPr>
            </w:pPr>
          </w:p>
        </w:tc>
        <w:tc>
          <w:tcPr>
            <w:tcW w:w="400" w:type="dxa"/>
            <w:vAlign w:val="bottom"/>
          </w:tcPr>
          <w:p>
            <w:pPr>
              <w:spacing w:after="0"/>
              <w:rPr>
                <w:sz w:val="17"/>
                <w:szCs w:val="17"/>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0" w:type="dxa"/>
            <w:vAlign w:val="bottom"/>
            <w:tcBorders>
              <w:bottom w:val="single" w:sz="8" w:color="0000EE"/>
            </w:tcBorders>
            <w:gridSpan w:val="6"/>
          </w:tcPr>
          <w:p>
            <w:pPr>
              <w:spacing w:after="0" w:line="196" w:lineRule="exact"/>
              <w:rPr>
                <w:sz w:val="20"/>
                <w:szCs w:val="20"/>
                <w:color w:val="auto"/>
              </w:rPr>
            </w:pPr>
            <w:r>
              <w:rPr>
                <w:rFonts w:ascii="Arial" w:cs="Arial" w:eastAsia="Arial" w:hAnsi="Arial"/>
                <w:sz w:val="18"/>
                <w:szCs w:val="18"/>
                <w:color w:val="0000EE"/>
                <w:w w:val="93"/>
              </w:rPr>
              <w:t>COMPREHENSIVE LOSS</w:t>
            </w:r>
          </w:p>
        </w:tc>
        <w:tc>
          <w:tcPr>
            <w:tcW w:w="6660" w:type="dxa"/>
            <w:vAlign w:val="bottom"/>
            <w:gridSpan w:val="17"/>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5</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7040" w:type="dxa"/>
            <w:vAlign w:val="bottom"/>
            <w:tcBorders>
              <w:bottom w:val="single" w:sz="8" w:color="0000EE"/>
            </w:tcBorders>
            <w:gridSpan w:val="20"/>
          </w:tcPr>
          <w:p>
            <w:pPr>
              <w:spacing w:after="0" w:line="196" w:lineRule="exact"/>
              <w:rPr>
                <w:sz w:val="20"/>
                <w:szCs w:val="20"/>
                <w:color w:val="auto"/>
              </w:rPr>
            </w:pPr>
            <w:r>
              <w:rPr>
                <w:rFonts w:ascii="Arial" w:cs="Arial" w:eastAsia="Arial" w:hAnsi="Arial"/>
                <w:sz w:val="18"/>
                <w:szCs w:val="18"/>
                <w:color w:val="0000EE"/>
                <w:w w:val="96"/>
              </w:rPr>
              <w:t>INTERIM UNAUDITED CONDENSED CONSOLIDATED STATEMENTS OF CASH FLOWS</w:t>
            </w:r>
          </w:p>
        </w:tc>
        <w:tc>
          <w:tcPr>
            <w:tcW w:w="1620" w:type="dxa"/>
            <w:vAlign w:val="bottom"/>
            <w:gridSpan w:val="3"/>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6</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8660" w:type="dxa"/>
            <w:vAlign w:val="bottom"/>
            <w:gridSpan w:val="23"/>
          </w:tcPr>
          <w:p>
            <w:pPr>
              <w:spacing w:after="0" w:line="196" w:lineRule="exact"/>
              <w:rPr>
                <w:sz w:val="20"/>
                <w:szCs w:val="20"/>
                <w:color w:val="auto"/>
              </w:rPr>
            </w:pPr>
            <w:r>
              <w:rPr>
                <w:rFonts w:ascii="Arial" w:cs="Arial" w:eastAsia="Arial" w:hAnsi="Arial"/>
                <w:sz w:val="18"/>
                <w:szCs w:val="18"/>
                <w:color w:val="0000EE"/>
              </w:rPr>
              <w:t>INTERIM UNAUDITED CONDENSED CONSOLIDATED STATEMENTS OF CHANGES IN</w:t>
            </w:r>
          </w:p>
        </w:tc>
        <w:tc>
          <w:tcPr>
            <w:tcW w:w="400" w:type="dxa"/>
            <w:vAlign w:val="bottom"/>
          </w:tcPr>
          <w:p>
            <w:pPr>
              <w:spacing w:after="0"/>
              <w:rPr>
                <w:sz w:val="17"/>
                <w:szCs w:val="17"/>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6980" w:type="dxa"/>
            <w:vAlign w:val="bottom"/>
            <w:tcBorders>
              <w:top w:val="single" w:sz="8" w:color="0000EE"/>
            </w:tcBorders>
            <w:gridSpan w:val="19"/>
          </w:tcPr>
          <w:p>
            <w:pPr>
              <w:spacing w:after="0" w:line="196" w:lineRule="exact"/>
              <w:rPr>
                <w:sz w:val="20"/>
                <w:szCs w:val="20"/>
                <w:color w:val="auto"/>
              </w:rPr>
            </w:pPr>
            <w:r>
              <w:rPr>
                <w:rFonts w:ascii="Arial" w:cs="Arial" w:eastAsia="Arial" w:hAnsi="Arial"/>
                <w:sz w:val="18"/>
                <w:szCs w:val="18"/>
                <w:color w:val="0000EE"/>
              </w:rPr>
              <w:t>STOCKHOLDERS’ EQUITY</w:t>
            </w:r>
          </w:p>
        </w:tc>
        <w:tc>
          <w:tcPr>
            <w:tcW w:w="1680" w:type="dxa"/>
            <w:vAlign w:val="bottom"/>
            <w:gridSpan w:val="4"/>
          </w:tcPr>
          <w:p>
            <w:pPr>
              <w:spacing w:after="0"/>
              <w:rPr>
                <w:sz w:val="17"/>
                <w:szCs w:val="17"/>
                <w:color w:val="auto"/>
              </w:rPr>
            </w:pPr>
          </w:p>
        </w:tc>
        <w:tc>
          <w:tcPr>
            <w:tcW w:w="400" w:type="dxa"/>
            <w:vAlign w:val="bottom"/>
          </w:tcPr>
          <w:p>
            <w:pPr>
              <w:jc w:val="center"/>
              <w:ind w:left="150"/>
              <w:spacing w:after="0" w:line="196" w:lineRule="exact"/>
              <w:rPr>
                <w:sz w:val="20"/>
                <w:szCs w:val="20"/>
                <w:color w:val="auto"/>
              </w:rPr>
            </w:pPr>
            <w:r>
              <w:rPr>
                <w:rFonts w:ascii="Arial" w:cs="Arial" w:eastAsia="Arial" w:hAnsi="Arial"/>
                <w:sz w:val="18"/>
                <w:szCs w:val="18"/>
                <w:color w:val="auto"/>
                <w:w w:val="79"/>
              </w:rPr>
              <w:t>8</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2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680" w:type="dxa"/>
            <w:vAlign w:val="bottom"/>
            <w:gridSpan w:val="2"/>
          </w:tcPr>
          <w:p>
            <w:pPr>
              <w:spacing w:after="0" w:line="20" w:lineRule="exact"/>
              <w:rPr>
                <w:sz w:val="1"/>
                <w:szCs w:val="1"/>
                <w:color w:val="auto"/>
              </w:rPr>
            </w:pPr>
          </w:p>
        </w:tc>
        <w:tc>
          <w:tcPr>
            <w:tcW w:w="1600" w:type="dxa"/>
            <w:vAlign w:val="bottom"/>
            <w:gridSpan w:val="4"/>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8660" w:type="dxa"/>
            <w:vAlign w:val="bottom"/>
            <w:gridSpan w:val="23"/>
          </w:tcPr>
          <w:p>
            <w:pPr>
              <w:spacing w:after="0" w:line="196" w:lineRule="exact"/>
              <w:rPr>
                <w:sz w:val="20"/>
                <w:szCs w:val="20"/>
                <w:color w:val="auto"/>
              </w:rPr>
            </w:pPr>
            <w:r>
              <w:rPr>
                <w:rFonts w:ascii="Arial" w:cs="Arial" w:eastAsia="Arial" w:hAnsi="Arial"/>
                <w:sz w:val="18"/>
                <w:szCs w:val="18"/>
                <w:color w:val="0000EE"/>
              </w:rPr>
              <w:t>NOTES TO CONDENSED CONSOLIDATED FINANCIAL STATEMENTS (UNAUDITED)</w:t>
            </w: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10</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580" w:type="dxa"/>
            <w:vAlign w:val="bottom"/>
            <w:gridSpan w:val="2"/>
            <w:shd w:val="clear" w:color="auto" w:fill="0000EE"/>
          </w:tcPr>
          <w:p>
            <w:pPr>
              <w:spacing w:after="0" w:line="20" w:lineRule="exact"/>
              <w:rPr>
                <w:sz w:val="1"/>
                <w:szCs w:val="1"/>
                <w:color w:val="auto"/>
              </w:rPr>
            </w:pPr>
          </w:p>
        </w:tc>
        <w:tc>
          <w:tcPr>
            <w:tcW w:w="2880" w:type="dxa"/>
            <w:vAlign w:val="bottom"/>
            <w:gridSpan w:val="2"/>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680" w:type="dxa"/>
            <w:vAlign w:val="bottom"/>
            <w:gridSpan w:val="2"/>
            <w:shd w:val="clear" w:color="auto" w:fill="0000EE"/>
          </w:tcPr>
          <w:p>
            <w:pPr>
              <w:spacing w:after="0" w:line="20" w:lineRule="exact"/>
              <w:rPr>
                <w:sz w:val="1"/>
                <w:szCs w:val="1"/>
                <w:color w:val="auto"/>
              </w:rPr>
            </w:pPr>
          </w:p>
        </w:tc>
        <w:tc>
          <w:tcPr>
            <w:tcW w:w="1600" w:type="dxa"/>
            <w:vAlign w:val="bottom"/>
            <w:gridSpan w:val="4"/>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420" w:type="dxa"/>
            <w:vAlign w:val="bottom"/>
            <w:tcBorders>
              <w:bottom w:val="single" w:sz="8" w:color="0000EE"/>
            </w:tcBorders>
            <w:gridSpan w:val="22"/>
          </w:tcPr>
          <w:p>
            <w:pPr>
              <w:spacing w:after="0" w:line="196" w:lineRule="exact"/>
              <w:rPr>
                <w:sz w:val="20"/>
                <w:szCs w:val="20"/>
                <w:color w:val="auto"/>
              </w:rPr>
            </w:pPr>
            <w:r>
              <w:rPr>
                <w:rFonts w:ascii="Arial" w:cs="Arial" w:eastAsia="Arial" w:hAnsi="Arial"/>
                <w:sz w:val="18"/>
                <w:szCs w:val="18"/>
                <w:color w:val="0000EE"/>
              </w:rPr>
              <w:t>MANAGEMENT’S  DISCUSSION  AND  ANALYSIS  OF  FINANCIAL  CONDITION  AND  RESULTS  OF</w:t>
            </w:r>
          </w:p>
        </w:tc>
        <w:tc>
          <w:tcPr>
            <w:tcW w:w="240" w:type="dxa"/>
            <w:vAlign w:val="bottom"/>
          </w:tcPr>
          <w:p>
            <w:pPr>
              <w:spacing w:after="0"/>
              <w:rPr>
                <w:sz w:val="17"/>
                <w:szCs w:val="17"/>
                <w:color w:val="auto"/>
              </w:rPr>
            </w:pPr>
          </w:p>
        </w:tc>
        <w:tc>
          <w:tcPr>
            <w:tcW w:w="400" w:type="dxa"/>
            <w:vAlign w:val="bottom"/>
          </w:tcPr>
          <w:p>
            <w:pPr>
              <w:spacing w:after="0"/>
              <w:rPr>
                <w:sz w:val="17"/>
                <w:szCs w:val="17"/>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00" w:type="dxa"/>
            <w:vAlign w:val="bottom"/>
            <w:tcBorders>
              <w:bottom w:val="single" w:sz="8" w:color="0000EE"/>
            </w:tcBorders>
            <w:gridSpan w:val="2"/>
          </w:tcPr>
          <w:p>
            <w:pPr>
              <w:spacing w:after="0" w:line="196" w:lineRule="exact"/>
              <w:rPr>
                <w:sz w:val="20"/>
                <w:szCs w:val="20"/>
                <w:color w:val="auto"/>
              </w:rPr>
            </w:pPr>
            <w:r>
              <w:rPr>
                <w:rFonts w:ascii="Arial" w:cs="Arial" w:eastAsia="Arial" w:hAnsi="Arial"/>
                <w:sz w:val="18"/>
                <w:szCs w:val="18"/>
                <w:color w:val="0000EE"/>
                <w:w w:val="91"/>
              </w:rPr>
              <w:t>OPERATIONS</w:t>
            </w:r>
          </w:p>
        </w:tc>
        <w:tc>
          <w:tcPr>
            <w:tcW w:w="7560" w:type="dxa"/>
            <w:vAlign w:val="bottom"/>
            <w:gridSpan w:val="21"/>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28</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6140" w:type="dxa"/>
            <w:vAlign w:val="bottom"/>
            <w:tcBorders>
              <w:bottom w:val="single" w:sz="8" w:color="0000EE"/>
            </w:tcBorders>
            <w:gridSpan w:val="16"/>
          </w:tcPr>
          <w:p>
            <w:pPr>
              <w:spacing w:after="0" w:line="196" w:lineRule="exact"/>
              <w:rPr>
                <w:sz w:val="20"/>
                <w:szCs w:val="20"/>
                <w:color w:val="auto"/>
              </w:rPr>
            </w:pPr>
            <w:r>
              <w:rPr>
                <w:rFonts w:ascii="Arial" w:cs="Arial" w:eastAsia="Arial" w:hAnsi="Arial"/>
                <w:sz w:val="18"/>
                <w:szCs w:val="18"/>
                <w:color w:val="0000EE"/>
                <w:w w:val="98"/>
              </w:rPr>
              <w:t>QUANTITATIVE AND QUALITATIVE DISCLOSURES ABOUT MARKET RISK</w:t>
            </w:r>
          </w:p>
        </w:tc>
        <w:tc>
          <w:tcPr>
            <w:tcW w:w="2520" w:type="dxa"/>
            <w:vAlign w:val="bottom"/>
            <w:gridSpan w:val="7"/>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46</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2600" w:type="dxa"/>
            <w:vAlign w:val="bottom"/>
            <w:tcBorders>
              <w:bottom w:val="single" w:sz="8" w:color="0000EE"/>
            </w:tcBorders>
            <w:gridSpan w:val="11"/>
          </w:tcPr>
          <w:p>
            <w:pPr>
              <w:spacing w:after="0" w:line="196" w:lineRule="exact"/>
              <w:rPr>
                <w:sz w:val="20"/>
                <w:szCs w:val="20"/>
                <w:color w:val="auto"/>
              </w:rPr>
            </w:pPr>
            <w:r>
              <w:rPr>
                <w:rFonts w:ascii="Arial" w:cs="Arial" w:eastAsia="Arial" w:hAnsi="Arial"/>
                <w:sz w:val="18"/>
                <w:szCs w:val="18"/>
                <w:color w:val="0000EE"/>
                <w:w w:val="93"/>
              </w:rPr>
              <w:t>CONTROLS AND PROCEDURES</w:t>
            </w:r>
          </w:p>
        </w:tc>
        <w:tc>
          <w:tcPr>
            <w:tcW w:w="6060" w:type="dxa"/>
            <w:vAlign w:val="bottom"/>
            <w:gridSpan w:val="12"/>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46</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b w:val="1"/>
                <w:bCs w:val="1"/>
                <w:color w:val="auto"/>
              </w:rPr>
              <w:t>PART II</w:t>
            </w:r>
          </w:p>
        </w:tc>
        <w:tc>
          <w:tcPr>
            <w:tcW w:w="2020" w:type="dxa"/>
            <w:vAlign w:val="bottom"/>
            <w:tcBorders>
              <w:bottom w:val="single" w:sz="8" w:color="0000EE"/>
            </w:tcBorders>
            <w:gridSpan w:val="7"/>
          </w:tcPr>
          <w:p>
            <w:pPr>
              <w:spacing w:after="0"/>
              <w:rPr>
                <w:sz w:val="20"/>
                <w:szCs w:val="20"/>
                <w:color w:val="auto"/>
              </w:rPr>
            </w:pPr>
            <w:r>
              <w:rPr>
                <w:rFonts w:ascii="Arial" w:cs="Arial" w:eastAsia="Arial" w:hAnsi="Arial"/>
                <w:sz w:val="18"/>
                <w:szCs w:val="18"/>
                <w:b w:val="1"/>
                <w:bCs w:val="1"/>
                <w:color w:val="0000EE"/>
              </w:rPr>
              <w:t>OTHER INFORMATION</w:t>
            </w:r>
          </w:p>
        </w:tc>
        <w:tc>
          <w:tcPr>
            <w:tcW w:w="6640" w:type="dxa"/>
            <w:vAlign w:val="bottom"/>
            <w:gridSpan w:val="16"/>
          </w:tcPr>
          <w:p>
            <w:pPr>
              <w:spacing w:after="0"/>
              <w:rPr>
                <w:sz w:val="24"/>
                <w:szCs w:val="24"/>
                <w:color w:val="auto"/>
              </w:rPr>
            </w:pPr>
          </w:p>
        </w:tc>
        <w:tc>
          <w:tcPr>
            <w:tcW w:w="400" w:type="dxa"/>
            <w:vAlign w:val="bottom"/>
          </w:tcPr>
          <w:p>
            <w:pPr>
              <w:jc w:val="center"/>
              <w:ind w:left="130"/>
              <w:spacing w:after="0"/>
              <w:rPr>
                <w:sz w:val="20"/>
                <w:szCs w:val="20"/>
                <w:color w:val="auto"/>
              </w:rPr>
            </w:pPr>
            <w:r>
              <w:rPr>
                <w:rFonts w:ascii="Arial" w:cs="Arial" w:eastAsia="Arial" w:hAnsi="Arial"/>
                <w:sz w:val="18"/>
                <w:szCs w:val="18"/>
                <w:color w:val="auto"/>
                <w:w w:val="89"/>
              </w:rPr>
              <w:t>48</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auto"/>
              </w:rPr>
              <w:t>ITEM 1.</w:t>
            </w:r>
          </w:p>
        </w:tc>
        <w:tc>
          <w:tcPr>
            <w:tcW w:w="8660" w:type="dxa"/>
            <w:vAlign w:val="bottom"/>
            <w:gridSpan w:val="23"/>
          </w:tcPr>
          <w:p>
            <w:pPr>
              <w:spacing w:after="0"/>
              <w:rPr>
                <w:sz w:val="20"/>
                <w:szCs w:val="20"/>
                <w:color w:val="auto"/>
              </w:rPr>
            </w:pPr>
            <w:r>
              <w:rPr>
                <w:rFonts w:ascii="Arial" w:cs="Arial" w:eastAsia="Arial" w:hAnsi="Arial"/>
                <w:sz w:val="18"/>
                <w:szCs w:val="18"/>
                <w:color w:val="0000EE"/>
              </w:rPr>
              <w:t>LEGAL PROCEEDINGS</w:t>
            </w:r>
          </w:p>
        </w:tc>
        <w:tc>
          <w:tcPr>
            <w:tcW w:w="400" w:type="dxa"/>
            <w:vAlign w:val="bottom"/>
          </w:tcPr>
          <w:p>
            <w:pPr>
              <w:jc w:val="center"/>
              <w:ind w:left="130"/>
              <w:spacing w:after="0"/>
              <w:rPr>
                <w:sz w:val="20"/>
                <w:szCs w:val="20"/>
                <w:color w:val="auto"/>
              </w:rPr>
            </w:pPr>
            <w:r>
              <w:rPr>
                <w:rFonts w:ascii="Arial" w:cs="Arial" w:eastAsia="Arial" w:hAnsi="Arial"/>
                <w:sz w:val="18"/>
                <w:szCs w:val="18"/>
                <w:color w:val="auto"/>
                <w:w w:val="89"/>
              </w:rPr>
              <w:t>48</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1860" w:type="dxa"/>
            <w:vAlign w:val="bottom"/>
            <w:tcBorders>
              <w:top w:val="single" w:sz="8" w:color="0000EE"/>
            </w:tcBorders>
            <w:gridSpan w:val="4"/>
          </w:tcPr>
          <w:p>
            <w:pPr>
              <w:spacing w:after="0" w:line="196" w:lineRule="exact"/>
              <w:rPr>
                <w:sz w:val="20"/>
                <w:szCs w:val="20"/>
                <w:color w:val="auto"/>
              </w:rPr>
            </w:pPr>
            <w:r>
              <w:rPr>
                <w:rFonts w:ascii="Arial" w:cs="Arial" w:eastAsia="Arial" w:hAnsi="Arial"/>
                <w:sz w:val="18"/>
                <w:szCs w:val="18"/>
                <w:color w:val="0000EE"/>
              </w:rPr>
              <w:t>RISK FACTORS</w:t>
            </w:r>
          </w:p>
        </w:tc>
        <w:tc>
          <w:tcPr>
            <w:tcW w:w="6800" w:type="dxa"/>
            <w:vAlign w:val="bottom"/>
            <w:gridSpan w:val="19"/>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48</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560" w:type="dxa"/>
            <w:vAlign w:val="bottom"/>
            <w:gridSpan w:val="5"/>
          </w:tcPr>
          <w:p>
            <w:pPr>
              <w:spacing w:after="0" w:line="20" w:lineRule="exact"/>
              <w:rPr>
                <w:sz w:val="1"/>
                <w:szCs w:val="1"/>
                <w:color w:val="auto"/>
              </w:rPr>
            </w:pPr>
          </w:p>
        </w:tc>
        <w:tc>
          <w:tcPr>
            <w:tcW w:w="740" w:type="dxa"/>
            <w:vAlign w:val="bottom"/>
            <w:gridSpan w:val="3"/>
          </w:tcPr>
          <w:p>
            <w:pPr>
              <w:spacing w:after="0" w:line="20" w:lineRule="exact"/>
              <w:rPr>
                <w:sz w:val="1"/>
                <w:szCs w:val="1"/>
                <w:color w:val="auto"/>
              </w:rPr>
            </w:pPr>
          </w:p>
        </w:tc>
        <w:tc>
          <w:tcPr>
            <w:tcW w:w="2880" w:type="dxa"/>
            <w:vAlign w:val="bottom"/>
            <w:gridSpan w:val="2"/>
          </w:tcPr>
          <w:p>
            <w:pPr>
              <w:spacing w:after="0" w:line="20" w:lineRule="exact"/>
              <w:rPr>
                <w:sz w:val="1"/>
                <w:szCs w:val="1"/>
                <w:color w:val="auto"/>
              </w:rPr>
            </w:pPr>
          </w:p>
        </w:tc>
        <w:tc>
          <w:tcPr>
            <w:tcW w:w="2600" w:type="dxa"/>
            <w:vAlign w:val="bottom"/>
            <w:gridSpan w:val="8"/>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8660" w:type="dxa"/>
            <w:vAlign w:val="bottom"/>
            <w:gridSpan w:val="23"/>
          </w:tcPr>
          <w:p>
            <w:pPr>
              <w:spacing w:after="0" w:line="196" w:lineRule="exact"/>
              <w:rPr>
                <w:sz w:val="20"/>
                <w:szCs w:val="20"/>
                <w:color w:val="auto"/>
              </w:rPr>
            </w:pPr>
            <w:r>
              <w:rPr>
                <w:rFonts w:ascii="Arial" w:cs="Arial" w:eastAsia="Arial" w:hAnsi="Arial"/>
                <w:sz w:val="18"/>
                <w:szCs w:val="18"/>
                <w:color w:val="0000EE"/>
              </w:rPr>
              <w:t>UNREGISTERED SALES OF EQUITY SECURITIES AND USE OF PROCEEDS</w:t>
            </w: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48</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3180" w:type="dxa"/>
            <w:vAlign w:val="bottom"/>
            <w:tcBorders>
              <w:top w:val="single" w:sz="8" w:color="0000EE"/>
              <w:bottom w:val="single" w:sz="8" w:color="0000EE"/>
            </w:tcBorders>
            <w:gridSpan w:val="13"/>
          </w:tcPr>
          <w:p>
            <w:pPr>
              <w:spacing w:after="0" w:line="196" w:lineRule="exact"/>
              <w:rPr>
                <w:sz w:val="20"/>
                <w:szCs w:val="20"/>
                <w:color w:val="auto"/>
              </w:rPr>
            </w:pPr>
            <w:r>
              <w:rPr>
                <w:rFonts w:ascii="Arial" w:cs="Arial" w:eastAsia="Arial" w:hAnsi="Arial"/>
                <w:sz w:val="18"/>
                <w:szCs w:val="18"/>
                <w:color w:val="0000EE"/>
                <w:w w:val="93"/>
              </w:rPr>
              <w:t>DEFAULTS UPON SENIOR SECURITIES</w:t>
            </w:r>
          </w:p>
        </w:tc>
        <w:tc>
          <w:tcPr>
            <w:tcW w:w="2880" w:type="dxa"/>
            <w:vAlign w:val="bottom"/>
            <w:tcBorders>
              <w:top w:val="single" w:sz="8" w:color="0000EE"/>
            </w:tcBorders>
            <w:gridSpan w:val="2"/>
          </w:tcPr>
          <w:p>
            <w:pPr>
              <w:spacing w:after="0"/>
              <w:rPr>
                <w:sz w:val="17"/>
                <w:szCs w:val="17"/>
                <w:color w:val="auto"/>
              </w:rPr>
            </w:pPr>
          </w:p>
        </w:tc>
        <w:tc>
          <w:tcPr>
            <w:tcW w:w="2600" w:type="dxa"/>
            <w:vAlign w:val="bottom"/>
            <w:gridSpan w:val="8"/>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48</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2440" w:type="dxa"/>
            <w:vAlign w:val="bottom"/>
            <w:tcBorders>
              <w:bottom w:val="single" w:sz="8" w:color="0000EE"/>
            </w:tcBorders>
            <w:gridSpan w:val="10"/>
          </w:tcPr>
          <w:p>
            <w:pPr>
              <w:spacing w:after="0" w:line="196" w:lineRule="exact"/>
              <w:rPr>
                <w:sz w:val="20"/>
                <w:szCs w:val="20"/>
                <w:color w:val="auto"/>
              </w:rPr>
            </w:pPr>
            <w:r>
              <w:rPr>
                <w:rFonts w:ascii="Arial" w:cs="Arial" w:eastAsia="Arial" w:hAnsi="Arial"/>
                <w:sz w:val="18"/>
                <w:szCs w:val="18"/>
                <w:color w:val="0000EE"/>
                <w:w w:val="95"/>
              </w:rPr>
              <w:t>MINE SAFETY DISCLOSURES</w:t>
            </w:r>
          </w:p>
        </w:tc>
        <w:tc>
          <w:tcPr>
            <w:tcW w:w="6220" w:type="dxa"/>
            <w:vAlign w:val="bottom"/>
            <w:gridSpan w:val="13"/>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48</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1880" w:type="dxa"/>
            <w:vAlign w:val="bottom"/>
            <w:tcBorders>
              <w:bottom w:val="single" w:sz="8" w:color="0000EE"/>
            </w:tcBorders>
            <w:gridSpan w:val="5"/>
          </w:tcPr>
          <w:p>
            <w:pPr>
              <w:spacing w:after="0" w:line="196" w:lineRule="exact"/>
              <w:rPr>
                <w:sz w:val="20"/>
                <w:szCs w:val="20"/>
                <w:color w:val="auto"/>
              </w:rPr>
            </w:pPr>
            <w:r>
              <w:rPr>
                <w:rFonts w:ascii="Arial" w:cs="Arial" w:eastAsia="Arial" w:hAnsi="Arial"/>
                <w:sz w:val="18"/>
                <w:szCs w:val="18"/>
                <w:color w:val="0000EE"/>
                <w:w w:val="95"/>
              </w:rPr>
              <w:t>OTHER INFORMATION</w:t>
            </w:r>
          </w:p>
        </w:tc>
        <w:tc>
          <w:tcPr>
            <w:tcW w:w="6780" w:type="dxa"/>
            <w:vAlign w:val="bottom"/>
            <w:gridSpan w:val="18"/>
          </w:tcPr>
          <w:p>
            <w:pPr>
              <w:spacing w:after="0"/>
              <w:rPr>
                <w:sz w:val="17"/>
                <w:szCs w:val="17"/>
                <w:color w:val="auto"/>
              </w:rPr>
            </w:pP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48</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8660" w:type="dxa"/>
            <w:vAlign w:val="bottom"/>
            <w:gridSpan w:val="23"/>
          </w:tcPr>
          <w:p>
            <w:pPr>
              <w:spacing w:after="0" w:line="196" w:lineRule="exact"/>
              <w:rPr>
                <w:sz w:val="20"/>
                <w:szCs w:val="20"/>
                <w:color w:val="auto"/>
              </w:rPr>
            </w:pPr>
            <w:r>
              <w:rPr>
                <w:rFonts w:ascii="Arial" w:cs="Arial" w:eastAsia="Arial" w:hAnsi="Arial"/>
                <w:sz w:val="18"/>
                <w:szCs w:val="18"/>
                <w:color w:val="0000EE"/>
              </w:rPr>
              <w:t>EXHIBITS</w:t>
            </w:r>
          </w:p>
        </w:tc>
        <w:tc>
          <w:tcPr>
            <w:tcW w:w="400" w:type="dxa"/>
            <w:vAlign w:val="bottom"/>
          </w:tcPr>
          <w:p>
            <w:pPr>
              <w:jc w:val="center"/>
              <w:ind w:left="130"/>
              <w:spacing w:after="0" w:line="196" w:lineRule="exact"/>
              <w:rPr>
                <w:sz w:val="20"/>
                <w:szCs w:val="20"/>
                <w:color w:val="auto"/>
              </w:rPr>
            </w:pPr>
            <w:r>
              <w:rPr>
                <w:rFonts w:ascii="Arial" w:cs="Arial" w:eastAsia="Arial" w:hAnsi="Arial"/>
                <w:sz w:val="18"/>
                <w:szCs w:val="18"/>
                <w:color w:val="auto"/>
                <w:w w:val="89"/>
              </w:rPr>
              <w:t>49</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0000EE"/>
              </w:rPr>
              <w:t>SIGNATURES</w:t>
            </w:r>
          </w:p>
        </w:tc>
        <w:tc>
          <w:tcPr>
            <w:tcW w:w="82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82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400" w:type="dxa"/>
            <w:vAlign w:val="bottom"/>
          </w:tcPr>
          <w:p>
            <w:pPr>
              <w:jc w:val="center"/>
              <w:ind w:left="130"/>
              <w:spacing w:after="0"/>
              <w:rPr>
                <w:sz w:val="20"/>
                <w:szCs w:val="20"/>
                <w:color w:val="auto"/>
              </w:rPr>
            </w:pPr>
            <w:r>
              <w:rPr>
                <w:rFonts w:ascii="Arial" w:cs="Arial" w:eastAsia="Arial" w:hAnsi="Arial"/>
                <w:sz w:val="18"/>
                <w:szCs w:val="18"/>
                <w:color w:val="auto"/>
                <w:w w:val="89"/>
              </w:rPr>
              <w:t>50</w:t>
            </w:r>
          </w:p>
        </w:tc>
      </w:tr>
      <w:tr>
        <w:trPr>
          <w:trHeight w:val="20"/>
        </w:trPr>
        <w:tc>
          <w:tcPr>
            <w:tcW w:w="1100" w:type="dxa"/>
            <w:vAlign w:val="bottom"/>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4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jc w:val="center"/>
        <w:ind w:right="-49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760"/>
          </w:cols>
          <w:pgMar w:left="320" w:top="796" w:right="81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29"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This Quarterly Report on Form 10-Q contains “forward-looking statements” within the meaning of the Private Securities Litigation Reform Act of 1995, Section 27A of the Securities Act of 1933, as amended (the “Securities Act”), and Section 21E of the Securities Exchange Act of 1934, as amended (the “Exchange Act”). Forward-looking statements discuss matters that are not historical facts. Because they discuss future events or conditions, forward-looking statements may include words such as “anticipate,” “believe,” “estimate,” “intend,” “could,” “should,” “would,” “may,” “seek,” “plan,” “might,” “will,” “expect,” “predict,” “project,” “forecast,” “potential” and “continue” or the negatives thereof or similar expressions. Forward-looking statements speak only as of the date they are made, are based on various underlying assumptions and current expectations about the future and are not guarantees of future performance. Such statements involve known and unknown risks, uncertainties and other factors that may cause our actual results, level of activity, performance or achievement to be materially different from the results of operations or plans expressed or implied by such forward-looking statements.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You are cautioned to not place undue reliance on these forward-looking statements, which speak only as of their dates.</w:t>
      </w:r>
    </w:p>
    <w:p>
      <w:pPr>
        <w:spacing w:after="0" w:line="211"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We cannot predict all the risks and uncertainties that may impact our business, financial condition or results of operations. Accordingly, the forward-looking statements in this Quarterly Report on Form 10-Q should not be regarded as representations that the results or conditions described in such statements will occur or that our objectives and plans will be achieved, and we do not assume any responsibility for the accuracy or completeness of any of these forward-looking statements. These forward-looking statements are found at various places throughout this Quarterly Report on Form 10-Q and include information concerning possible or projected future results of our operations, including statements about potential acquisition or merger targets, strategies or plans; business strategies; prospects; future cash flows; financing plans; plans and objectives of management; any other statements regarding future acquisitions, future cash needs, future operations, business plans and future financial results; and any other statements that are not historical facts.</w:t>
      </w:r>
    </w:p>
    <w:p>
      <w:pPr>
        <w:spacing w:after="0" w:line="166"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These forward-looking statements represent our intentions, plans, expectations, assumptions and beliefs about future events and are subject to a variety of factors and risks, including, but not limited to, those set forth under “</w:t>
      </w:r>
      <w:r>
        <w:rPr>
          <w:rFonts w:ascii="Arial" w:cs="Arial" w:eastAsia="Arial" w:hAnsi="Arial"/>
          <w:sz w:val="17"/>
          <w:szCs w:val="17"/>
          <w:i w:val="1"/>
          <w:iCs w:val="1"/>
          <w:color w:val="auto"/>
        </w:rPr>
        <w:t>Risk Factors</w:t>
      </w:r>
      <w:r>
        <w:rPr>
          <w:rFonts w:ascii="Arial" w:cs="Arial" w:eastAsia="Arial" w:hAnsi="Arial"/>
          <w:sz w:val="17"/>
          <w:szCs w:val="17"/>
          <w:color w:val="auto"/>
        </w:rPr>
        <w:t>” in Part I, Item 1A of our Annual Report on Form 10-K, as amended, for the fiscal year ended December 31, 2022 initially filed with the Securities and Exchange Commission (“SEC”) on March 31, 2023.</w:t>
      </w:r>
    </w:p>
    <w:p>
      <w:pPr>
        <w:spacing w:after="0" w:line="16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Many of those risks and factors are outside of our control and could cause actual results to differ materially from the results expressed or implied by those forward-looking statements. Considering these risks, uncertainties and assumptions, the events described in the forward-looking statements might not occur or might occur to a different extent or at a different time than we have described. All subsequent written and oral forward-looking statements concerning other matters addressed in this Quarterly Report on Form 10-Q and attributable to us or any person acting on our behalf are expressly qualified in their entirety by the cautionary statements contained or referred to in this Quarterly Report on Form 10-Q.</w:t>
      </w:r>
    </w:p>
    <w:p>
      <w:pPr>
        <w:spacing w:after="0" w:line="17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Except to the extent required by law, we undertake no obligation to update or revise any forward-looking statements, whether as a result of new information, future events, a change in events, conditions, circumstances or assumptions underlying such statements, or otherwise.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PART I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40" w:type="dxa"/>
            <w:vAlign w:val="bottom"/>
            <w:gridSpan w:val="2"/>
          </w:tcPr>
          <w:p>
            <w:pPr>
              <w:jc w:val="center"/>
              <w:ind w:right="480"/>
              <w:spacing w:after="0"/>
              <w:rPr>
                <w:sz w:val="20"/>
                <w:szCs w:val="20"/>
                <w:color w:val="auto"/>
              </w:rPr>
            </w:pPr>
            <w:r>
              <w:rPr>
                <w:rFonts w:ascii="Arial" w:cs="Arial" w:eastAsia="Arial" w:hAnsi="Arial"/>
                <w:sz w:val="18"/>
                <w:szCs w:val="18"/>
                <w:b w:val="1"/>
                <w:bCs w:val="1"/>
                <w:color w:val="auto"/>
                <w:w w:val="89"/>
              </w:rPr>
              <w:t>September 30,</w:t>
            </w:r>
          </w:p>
        </w:tc>
        <w:tc>
          <w:tcPr>
            <w:tcW w:w="160" w:type="dxa"/>
            <w:vAlign w:val="bottom"/>
          </w:tcPr>
          <w:p>
            <w:pPr>
              <w:spacing w:after="0"/>
              <w:rPr>
                <w:sz w:val="18"/>
                <w:szCs w:val="18"/>
                <w:color w:val="auto"/>
              </w:rPr>
            </w:pPr>
          </w:p>
        </w:tc>
        <w:tc>
          <w:tcPr>
            <w:tcW w:w="1520" w:type="dxa"/>
            <w:vAlign w:val="bottom"/>
            <w:gridSpan w:val="3"/>
          </w:tcPr>
          <w:p>
            <w:pPr>
              <w:jc w:val="right"/>
              <w:ind w:right="380"/>
              <w:spacing w:after="0"/>
              <w:rPr>
                <w:sz w:val="20"/>
                <w:szCs w:val="20"/>
                <w:color w:val="auto"/>
              </w:rPr>
            </w:pPr>
            <w:r>
              <w:rPr>
                <w:rFonts w:ascii="Arial" w:cs="Arial" w:eastAsia="Arial" w:hAnsi="Arial"/>
                <w:sz w:val="18"/>
                <w:szCs w:val="18"/>
                <w:b w:val="1"/>
                <w:bCs w:val="1"/>
                <w:color w:val="auto"/>
                <w:w w:val="95"/>
              </w:rPr>
              <w:t>December 31,</w:t>
            </w:r>
          </w:p>
        </w:tc>
        <w:tc>
          <w:tcPr>
            <w:tcW w:w="0" w:type="dxa"/>
            <w:vAlign w:val="bottom"/>
          </w:tcPr>
          <w:p>
            <w:pPr>
              <w:spacing w:after="0"/>
              <w:rPr>
                <w:sz w:val="1"/>
                <w:szCs w:val="1"/>
                <w:color w:val="auto"/>
              </w:rPr>
            </w:pPr>
          </w:p>
        </w:tc>
      </w:tr>
      <w:tr>
        <w:trPr>
          <w:trHeight w:val="234"/>
        </w:trPr>
        <w:tc>
          <w:tcPr>
            <w:tcW w:w="750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50"/>
              <w:spacing w:after="0"/>
              <w:rPr>
                <w:sz w:val="20"/>
                <w:szCs w:val="20"/>
                <w:color w:val="auto"/>
              </w:rPr>
            </w:pPr>
            <w:r>
              <w:rPr>
                <w:rFonts w:ascii="Arial" w:cs="Arial" w:eastAsia="Arial" w:hAnsi="Arial"/>
                <w:sz w:val="18"/>
                <w:szCs w:val="18"/>
                <w:b w:val="1"/>
                <w:bCs w:val="1"/>
                <w:color w:val="auto"/>
                <w:w w:val="89"/>
              </w:rPr>
              <w:t>2023</w:t>
            </w:r>
          </w:p>
        </w:tc>
        <w:tc>
          <w:tcPr>
            <w:tcW w:w="3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7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center"/>
              <w:ind w:right="70"/>
              <w:spacing w:after="0"/>
              <w:rPr>
                <w:sz w:val="20"/>
                <w:szCs w:val="20"/>
                <w:color w:val="auto"/>
              </w:rPr>
            </w:pPr>
            <w:r>
              <w:rPr>
                <w:rFonts w:ascii="Arial" w:cs="Arial" w:eastAsia="Arial" w:hAnsi="Arial"/>
                <w:sz w:val="18"/>
                <w:szCs w:val="18"/>
                <w:b w:val="1"/>
                <w:bCs w:val="1"/>
                <w:color w:val="auto"/>
                <w:w w:val="93"/>
              </w:rPr>
              <w:t>(Unaudited)</w:t>
            </w:r>
          </w:p>
        </w:tc>
        <w:tc>
          <w:tcPr>
            <w:tcW w:w="320" w:type="dxa"/>
            <w:vAlign w:val="bottom"/>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142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(Audited)</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5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4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42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tcPr>
          <w:p>
            <w:pPr>
              <w:spacing w:after="0"/>
              <w:rPr>
                <w:sz w:val="20"/>
                <w:szCs w:val="20"/>
                <w:color w:val="auto"/>
              </w:rPr>
            </w:pPr>
            <w:r>
              <w:rPr>
                <w:rFonts w:ascii="Arial" w:cs="Arial" w:eastAsia="Arial" w:hAnsi="Arial"/>
                <w:sz w:val="18"/>
                <w:szCs w:val="18"/>
                <w:color w:val="auto"/>
              </w:rPr>
              <w:t>Current assets</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Cash and cash equivalents</w:t>
            </w:r>
          </w:p>
        </w:tc>
        <w:tc>
          <w:tcPr>
            <w:tcW w:w="3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1,281,258</w:t>
            </w:r>
          </w:p>
        </w:tc>
        <w:tc>
          <w:tcPr>
            <w:tcW w:w="16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2,906,074</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tcPr>
          <w:p>
            <w:pPr>
              <w:ind w:left="180"/>
              <w:spacing w:after="0"/>
              <w:rPr>
                <w:sz w:val="20"/>
                <w:szCs w:val="20"/>
                <w:color w:val="auto"/>
              </w:rPr>
            </w:pPr>
            <w:r>
              <w:rPr>
                <w:rFonts w:ascii="Arial" w:cs="Arial" w:eastAsia="Arial" w:hAnsi="Arial"/>
                <w:sz w:val="18"/>
                <w:szCs w:val="18"/>
                <w:color w:val="auto"/>
              </w:rPr>
              <w:t>Accounts receivable, net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243,515</w:t>
            </w:r>
          </w:p>
        </w:tc>
        <w:tc>
          <w:tcPr>
            <w:tcW w:w="16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209,777</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Inventories, net</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85,857</w:t>
            </w:r>
          </w:p>
        </w:tc>
        <w:tc>
          <w:tcPr>
            <w:tcW w:w="160" w:type="dxa"/>
            <w:vAlign w:val="bottom"/>
            <w:shd w:val="clear" w:color="auto" w:fill="EEEEEE"/>
          </w:tcPr>
          <w:p>
            <w:pPr>
              <w:spacing w:after="0"/>
              <w:rPr>
                <w:sz w:val="18"/>
                <w:szCs w:val="18"/>
                <w:color w:val="auto"/>
              </w:rPr>
            </w:pPr>
          </w:p>
        </w:tc>
        <w:tc>
          <w:tcPr>
            <w:tcW w:w="152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91,781</w:t>
            </w:r>
          </w:p>
        </w:tc>
        <w:tc>
          <w:tcPr>
            <w:tcW w:w="0" w:type="dxa"/>
            <w:vAlign w:val="bottom"/>
          </w:tcPr>
          <w:p>
            <w:pPr>
              <w:spacing w:after="0"/>
              <w:rPr>
                <w:sz w:val="1"/>
                <w:szCs w:val="1"/>
                <w:color w:val="auto"/>
              </w:rPr>
            </w:pPr>
          </w:p>
        </w:tc>
      </w:tr>
      <w:tr>
        <w:trPr>
          <w:trHeight w:val="216"/>
        </w:trPr>
        <w:tc>
          <w:tcPr>
            <w:tcW w:w="7500" w:type="dxa"/>
            <w:vAlign w:val="bottom"/>
          </w:tcPr>
          <w:p>
            <w:pPr>
              <w:ind w:left="180"/>
              <w:spacing w:after="0"/>
              <w:rPr>
                <w:sz w:val="20"/>
                <w:szCs w:val="20"/>
                <w:color w:val="auto"/>
              </w:rPr>
            </w:pPr>
            <w:r>
              <w:rPr>
                <w:rFonts w:ascii="Arial" w:cs="Arial" w:eastAsia="Arial" w:hAnsi="Arial"/>
                <w:sz w:val="18"/>
                <w:szCs w:val="18"/>
                <w:color w:val="auto"/>
              </w:rPr>
              <w:t>Advance to suppliers</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1,732</w:t>
            </w:r>
          </w:p>
        </w:tc>
        <w:tc>
          <w:tcPr>
            <w:tcW w:w="16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1,732</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Prepaid expenses and other assets, net</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151,496</w:t>
            </w:r>
          </w:p>
        </w:tc>
        <w:tc>
          <w:tcPr>
            <w:tcW w:w="160" w:type="dxa"/>
            <w:vAlign w:val="bottom"/>
            <w:shd w:val="clear" w:color="auto" w:fill="EEEEEE"/>
          </w:tcPr>
          <w:p>
            <w:pPr>
              <w:spacing w:after="0"/>
              <w:rPr>
                <w:sz w:val="18"/>
                <w:szCs w:val="18"/>
                <w:color w:val="auto"/>
              </w:rPr>
            </w:pPr>
          </w:p>
        </w:tc>
        <w:tc>
          <w:tcPr>
            <w:tcW w:w="152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27,470</w:t>
            </w:r>
          </w:p>
        </w:tc>
        <w:tc>
          <w:tcPr>
            <w:tcW w:w="0" w:type="dxa"/>
            <w:vAlign w:val="bottom"/>
          </w:tcPr>
          <w:p>
            <w:pPr>
              <w:spacing w:after="0"/>
              <w:rPr>
                <w:sz w:val="1"/>
                <w:szCs w:val="1"/>
                <w:color w:val="auto"/>
              </w:rPr>
            </w:pPr>
          </w:p>
        </w:tc>
      </w:tr>
      <w:tr>
        <w:trPr>
          <w:trHeight w:val="230"/>
        </w:trPr>
        <w:tc>
          <w:tcPr>
            <w:tcW w:w="7500" w:type="dxa"/>
            <w:vAlign w:val="bottom"/>
          </w:tcPr>
          <w:p>
            <w:pPr>
              <w:ind w:left="180"/>
              <w:spacing w:after="0"/>
              <w:rPr>
                <w:sz w:val="20"/>
                <w:szCs w:val="20"/>
                <w:color w:val="auto"/>
              </w:rPr>
            </w:pPr>
            <w:r>
              <w:rPr>
                <w:rFonts w:ascii="Arial" w:cs="Arial" w:eastAsia="Arial" w:hAnsi="Arial"/>
                <w:sz w:val="18"/>
                <w:szCs w:val="18"/>
                <w:color w:val="auto"/>
              </w:rPr>
              <w:t>Financial assets at fair value through profit or loss</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205,902</w:t>
            </w:r>
          </w:p>
        </w:tc>
        <w:tc>
          <w:tcPr>
            <w:tcW w:w="160" w:type="dxa"/>
            <w:vAlign w:val="bottom"/>
          </w:tcPr>
          <w:p>
            <w:pPr>
              <w:spacing w:after="0"/>
              <w:rPr>
                <w:sz w:val="19"/>
                <w:szCs w:val="19"/>
                <w:color w:val="auto"/>
              </w:rPr>
            </w:pPr>
          </w:p>
        </w:tc>
        <w:tc>
          <w:tcPr>
            <w:tcW w:w="152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750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current assets</w:t>
            </w:r>
          </w:p>
        </w:tc>
        <w:tc>
          <w:tcPr>
            <w:tcW w:w="160" w:type="dxa"/>
            <w:vAlign w:val="bottom"/>
            <w:tcBorders>
              <w:top w:val="single" w:sz="8" w:color="EEEEEE"/>
            </w:tcBorders>
            <w:shd w:val="clear" w:color="auto" w:fill="EEEEEE"/>
          </w:tcPr>
          <w:p>
            <w:pPr>
              <w:spacing w:after="0"/>
              <w:rPr>
                <w:sz w:val="18"/>
                <w:szCs w:val="18"/>
                <w:color w:val="auto"/>
              </w:rPr>
            </w:pPr>
          </w:p>
        </w:tc>
        <w:tc>
          <w:tcPr>
            <w:tcW w:w="160" w:type="dxa"/>
            <w:vAlign w:val="bottom"/>
            <w:tcBorders>
              <w:top w:val="single" w:sz="8" w:color="auto"/>
              <w:bottom w:val="single" w:sz="8" w:color="auto"/>
            </w:tcBorders>
            <w:shd w:val="clear" w:color="auto" w:fill="EEEEEE"/>
          </w:tcPr>
          <w:p>
            <w:pPr>
              <w:spacing w:after="0"/>
              <w:rPr>
                <w:sz w:val="18"/>
                <w:szCs w:val="18"/>
                <w:color w:val="auto"/>
              </w:rPr>
            </w:pPr>
          </w:p>
        </w:tc>
        <w:tc>
          <w:tcPr>
            <w:tcW w:w="14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1,969,760</w:t>
            </w:r>
          </w:p>
        </w:tc>
        <w:tc>
          <w:tcPr>
            <w:tcW w:w="320" w:type="dxa"/>
            <w:vAlign w:val="bottom"/>
            <w:tcBorders>
              <w:top w:val="single" w:sz="8" w:color="EEEEEE"/>
            </w:tcBorders>
            <w:shd w:val="clear" w:color="auto" w:fill="EEEEEE"/>
          </w:tcPr>
          <w:p>
            <w:pPr>
              <w:spacing w:after="0"/>
              <w:rPr>
                <w:sz w:val="18"/>
                <w:szCs w:val="18"/>
                <w:color w:val="auto"/>
              </w:rPr>
            </w:pPr>
          </w:p>
        </w:tc>
        <w:tc>
          <w:tcPr>
            <w:tcW w:w="160" w:type="dxa"/>
            <w:vAlign w:val="bottom"/>
            <w:tcBorders>
              <w:top w:val="single" w:sz="8" w:color="auto"/>
              <w:bottom w:val="single" w:sz="8" w:color="auto"/>
            </w:tcBorders>
            <w:shd w:val="clear" w:color="auto" w:fill="EEEEEE"/>
          </w:tcPr>
          <w:p>
            <w:pPr>
              <w:spacing w:after="0"/>
              <w:rPr>
                <w:sz w:val="18"/>
                <w:szCs w:val="18"/>
                <w:color w:val="auto"/>
              </w:rPr>
            </w:pPr>
          </w:p>
        </w:tc>
        <w:tc>
          <w:tcPr>
            <w:tcW w:w="14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3,236,834</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500" w:type="dxa"/>
            <w:vAlign w:val="bottom"/>
          </w:tcPr>
          <w:p>
            <w:pPr>
              <w:ind w:left="180"/>
              <w:spacing w:after="0"/>
              <w:rPr>
                <w:sz w:val="20"/>
                <w:szCs w:val="20"/>
                <w:color w:val="auto"/>
              </w:rPr>
            </w:pPr>
            <w:r>
              <w:rPr>
                <w:rFonts w:ascii="Arial" w:cs="Arial" w:eastAsia="Arial" w:hAnsi="Arial"/>
                <w:sz w:val="18"/>
                <w:szCs w:val="18"/>
                <w:color w:val="auto"/>
              </w:rPr>
              <w:t>Deferred tax assets, net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21,639</w:t>
            </w: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jc w:val="right"/>
              <w:spacing w:after="0"/>
              <w:rPr>
                <w:sz w:val="20"/>
                <w:szCs w:val="20"/>
                <w:color w:val="auto"/>
              </w:rPr>
            </w:pPr>
            <w:r>
              <w:rPr>
                <w:rFonts w:ascii="Arial" w:cs="Arial" w:eastAsia="Arial" w:hAnsi="Arial"/>
                <w:sz w:val="18"/>
                <w:szCs w:val="18"/>
                <w:color w:val="auto"/>
              </w:rPr>
              <w:t>22,703</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Property and equipment, net</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1,558,327</w:t>
            </w:r>
          </w:p>
        </w:tc>
        <w:tc>
          <w:tcPr>
            <w:tcW w:w="160" w:type="dxa"/>
            <w:vAlign w:val="bottom"/>
            <w:shd w:val="clear" w:color="auto" w:fill="EEEEEE"/>
          </w:tcPr>
          <w:p>
            <w:pPr>
              <w:spacing w:after="0"/>
              <w:rPr>
                <w:sz w:val="18"/>
                <w:szCs w:val="18"/>
                <w:color w:val="auto"/>
              </w:rPr>
            </w:pPr>
          </w:p>
        </w:tc>
        <w:tc>
          <w:tcPr>
            <w:tcW w:w="14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844,613</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tcPr>
          <w:p>
            <w:pPr>
              <w:ind w:left="180"/>
              <w:spacing w:after="0"/>
              <w:rPr>
                <w:sz w:val="20"/>
                <w:szCs w:val="20"/>
                <w:color w:val="auto"/>
              </w:rPr>
            </w:pPr>
            <w:r>
              <w:rPr>
                <w:rFonts w:ascii="Arial" w:cs="Arial" w:eastAsia="Arial" w:hAnsi="Arial"/>
                <w:sz w:val="18"/>
                <w:szCs w:val="18"/>
                <w:color w:val="auto"/>
              </w:rPr>
              <w:t>Intangible assets - customer relations</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118,205</w:t>
            </w:r>
          </w:p>
        </w:tc>
        <w:tc>
          <w:tcPr>
            <w:tcW w:w="16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130,434</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Goodwill</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3,905,735</w:t>
            </w:r>
          </w:p>
        </w:tc>
        <w:tc>
          <w:tcPr>
            <w:tcW w:w="160" w:type="dxa"/>
            <w:vAlign w:val="bottom"/>
            <w:shd w:val="clear" w:color="auto" w:fill="EEEEEE"/>
          </w:tcPr>
          <w:p>
            <w:pPr>
              <w:spacing w:after="0"/>
              <w:rPr>
                <w:sz w:val="18"/>
                <w:szCs w:val="18"/>
                <w:color w:val="auto"/>
              </w:rPr>
            </w:pPr>
          </w:p>
        </w:tc>
        <w:tc>
          <w:tcPr>
            <w:tcW w:w="14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3,905,735</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500" w:type="dxa"/>
            <w:vAlign w:val="bottom"/>
          </w:tcPr>
          <w:p>
            <w:pPr>
              <w:ind w:left="180"/>
              <w:spacing w:after="0"/>
              <w:rPr>
                <w:sz w:val="20"/>
                <w:szCs w:val="20"/>
                <w:color w:val="auto"/>
              </w:rPr>
            </w:pPr>
            <w:r>
              <w:rPr>
                <w:rFonts w:ascii="Arial" w:cs="Arial" w:eastAsia="Arial" w:hAnsi="Arial"/>
                <w:sz w:val="18"/>
                <w:szCs w:val="18"/>
                <w:color w:val="auto"/>
              </w:rPr>
              <w:t>Other non-current asset</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4,500</w:t>
            </w:r>
          </w:p>
        </w:tc>
        <w:tc>
          <w:tcPr>
            <w:tcW w:w="160" w:type="dxa"/>
            <w:vAlign w:val="bottom"/>
          </w:tcPr>
          <w:p>
            <w:pPr>
              <w:spacing w:after="0"/>
              <w:rPr>
                <w:sz w:val="19"/>
                <w:szCs w:val="19"/>
                <w:color w:val="auto"/>
              </w:rPr>
            </w:pPr>
          </w:p>
        </w:tc>
        <w:tc>
          <w:tcPr>
            <w:tcW w:w="152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50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assets</w:t>
            </w:r>
          </w:p>
        </w:tc>
        <w:tc>
          <w:tcPr>
            <w:tcW w:w="160" w:type="dxa"/>
            <w:vAlign w:val="bottom"/>
            <w:tcBorders>
              <w:top w:val="single" w:sz="8" w:color="EEEEEE"/>
              <w:bottom w:val="single" w:sz="8" w:color="EEEEEE"/>
            </w:tcBorders>
            <w:shd w:val="clear" w:color="auto" w:fill="EEEEEE"/>
          </w:tcPr>
          <w:p>
            <w:pPr>
              <w:spacing w:after="0"/>
              <w:rPr>
                <w:sz w:val="19"/>
                <w:szCs w:val="19"/>
                <w:color w:val="auto"/>
              </w:rPr>
            </w:pPr>
          </w:p>
        </w:tc>
        <w:tc>
          <w:tcPr>
            <w:tcW w:w="160" w:type="dxa"/>
            <w:vAlign w:val="bottom"/>
            <w:tcBorders>
              <w:top w:val="single" w:sz="8" w:color="auto"/>
              <w:bottom w:val="single" w:sz="8" w:color="auto"/>
            </w:tcBorders>
            <w:shd w:val="clear" w:color="auto" w:fill="EEEEEE"/>
          </w:tcPr>
          <w:p>
            <w:pPr>
              <w:spacing w:after="0"/>
              <w:rPr>
                <w:sz w:val="19"/>
                <w:szCs w:val="19"/>
                <w:color w:val="auto"/>
              </w:rPr>
            </w:pPr>
          </w:p>
        </w:tc>
        <w:tc>
          <w:tcPr>
            <w:tcW w:w="14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7,578,166</w:t>
            </w:r>
          </w:p>
        </w:tc>
        <w:tc>
          <w:tcPr>
            <w:tcW w:w="320" w:type="dxa"/>
            <w:vAlign w:val="bottom"/>
            <w:tcBorders>
              <w:top w:val="single" w:sz="8" w:color="EEEEEE"/>
              <w:bottom w:val="single" w:sz="8" w:color="EEEEEE"/>
            </w:tcBorders>
            <w:shd w:val="clear" w:color="auto" w:fill="EEEEEE"/>
          </w:tcPr>
          <w:p>
            <w:pPr>
              <w:spacing w:after="0"/>
              <w:rPr>
                <w:sz w:val="19"/>
                <w:szCs w:val="19"/>
                <w:color w:val="auto"/>
              </w:rPr>
            </w:pPr>
          </w:p>
        </w:tc>
        <w:tc>
          <w:tcPr>
            <w:tcW w:w="160" w:type="dxa"/>
            <w:vAlign w:val="bottom"/>
            <w:tcBorders>
              <w:top w:val="single" w:sz="8" w:color="auto"/>
              <w:bottom w:val="single" w:sz="8" w:color="auto"/>
            </w:tcBorders>
            <w:shd w:val="clear" w:color="auto" w:fill="EEEEEE"/>
          </w:tcPr>
          <w:p>
            <w:pPr>
              <w:spacing w:after="0"/>
              <w:rPr>
                <w:sz w:val="19"/>
                <w:szCs w:val="19"/>
                <w:color w:val="auto"/>
              </w:rPr>
            </w:pPr>
          </w:p>
        </w:tc>
        <w:tc>
          <w:tcPr>
            <w:tcW w:w="14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8,140,319</w:t>
            </w:r>
          </w:p>
        </w:tc>
        <w:tc>
          <w:tcPr>
            <w:tcW w:w="20" w:type="dxa"/>
            <w:vAlign w:val="bottom"/>
            <w:tcBorders>
              <w:top w:val="single" w:sz="8" w:color="EEEEEE"/>
              <w:bottom w:val="single" w:sz="8" w:color="EEEEEE"/>
            </w:tcBorders>
            <w:shd w:val="clear" w:color="auto" w:fill="EEEEEE"/>
          </w:tcPr>
          <w:p>
            <w:pPr>
              <w:spacing w:after="0"/>
              <w:rPr>
                <w:sz w:val="19"/>
                <w:szCs w:val="19"/>
                <w:color w:val="auto"/>
              </w:rPr>
            </w:pPr>
          </w:p>
        </w:tc>
        <w:tc>
          <w:tcPr>
            <w:tcW w:w="80" w:type="dxa"/>
            <w:vAlign w:val="bottom"/>
            <w:tcBorders>
              <w:top w:val="single" w:sz="8" w:color="EEEEEE"/>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00" w:type="dxa"/>
            <w:vAlign w:val="bottom"/>
            <w:vMerge w:val="restart"/>
          </w:tcPr>
          <w:p>
            <w:pPr>
              <w:spacing w:after="0"/>
              <w:rPr>
                <w:sz w:val="20"/>
                <w:szCs w:val="20"/>
                <w:color w:val="auto"/>
              </w:rPr>
            </w:pPr>
            <w:r>
              <w:rPr>
                <w:rFonts w:ascii="Arial" w:cs="Arial" w:eastAsia="Arial" w:hAnsi="Arial"/>
                <w:sz w:val="18"/>
                <w:szCs w:val="18"/>
                <w:b w:val="1"/>
                <w:bCs w:val="1"/>
                <w:color w:val="auto"/>
              </w:rPr>
              <w:t>LIABILITIES AND EQUITY</w:t>
            </w: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500" w:type="dxa"/>
            <w:vAlign w:val="bottom"/>
            <w:vMerge w:val="continue"/>
          </w:tcPr>
          <w:p>
            <w:pPr>
              <w:spacing w:after="0"/>
              <w:rPr>
                <w:sz w:val="17"/>
                <w:szCs w:val="17"/>
                <w:color w:val="auto"/>
              </w:rPr>
            </w:pP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Liabilities</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4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42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tcPr>
          <w:p>
            <w:pPr>
              <w:spacing w:after="0"/>
              <w:rPr>
                <w:sz w:val="20"/>
                <w:szCs w:val="20"/>
                <w:color w:val="auto"/>
              </w:rPr>
            </w:pPr>
            <w:r>
              <w:rPr>
                <w:rFonts w:ascii="Arial" w:cs="Arial" w:eastAsia="Arial" w:hAnsi="Arial"/>
                <w:sz w:val="18"/>
                <w:szCs w:val="18"/>
                <w:color w:val="auto"/>
              </w:rPr>
              <w:t>Current liabilities</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Accounts payable</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8"/>
                <w:szCs w:val="18"/>
                <w:color w:val="auto"/>
              </w:rPr>
            </w:pPr>
          </w:p>
        </w:tc>
        <w:tc>
          <w:tcPr>
            <w:tcW w:w="14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2,631</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tcPr>
          <w:p>
            <w:pPr>
              <w:ind w:left="180"/>
              <w:spacing w:after="0"/>
              <w:rPr>
                <w:sz w:val="20"/>
                <w:szCs w:val="20"/>
                <w:color w:val="auto"/>
              </w:rPr>
            </w:pPr>
            <w:r>
              <w:rPr>
                <w:rFonts w:ascii="Arial" w:cs="Arial" w:eastAsia="Arial" w:hAnsi="Arial"/>
                <w:sz w:val="18"/>
                <w:szCs w:val="18"/>
                <w:color w:val="auto"/>
              </w:rPr>
              <w:t>Other payables and accrued liabilities</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49,773</w:t>
            </w:r>
          </w:p>
        </w:tc>
        <w:tc>
          <w:tcPr>
            <w:tcW w:w="160" w:type="dxa"/>
            <w:vAlign w:val="bottom"/>
          </w:tcPr>
          <w:p>
            <w:pPr>
              <w:spacing w:after="0"/>
              <w:rPr>
                <w:sz w:val="18"/>
                <w:szCs w:val="18"/>
                <w:color w:val="auto"/>
              </w:rPr>
            </w:pPr>
          </w:p>
        </w:tc>
        <w:tc>
          <w:tcPr>
            <w:tcW w:w="1520" w:type="dxa"/>
            <w:vAlign w:val="bottom"/>
            <w:gridSpan w:val="3"/>
          </w:tcPr>
          <w:p>
            <w:pPr>
              <w:jc w:val="right"/>
              <w:ind w:right="100"/>
              <w:spacing w:after="0"/>
              <w:rPr>
                <w:sz w:val="20"/>
                <w:szCs w:val="20"/>
                <w:color w:val="auto"/>
              </w:rPr>
            </w:pPr>
            <w:r>
              <w:rPr>
                <w:rFonts w:ascii="Arial" w:cs="Arial" w:eastAsia="Arial" w:hAnsi="Arial"/>
                <w:sz w:val="18"/>
                <w:szCs w:val="18"/>
                <w:color w:val="auto"/>
              </w:rPr>
              <w:t>38,388</w:t>
            </w: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Advance receipts</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8"/>
                <w:szCs w:val="18"/>
                <w:color w:val="auto"/>
              </w:rPr>
            </w:pPr>
          </w:p>
        </w:tc>
        <w:tc>
          <w:tcPr>
            <w:tcW w:w="152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42,880</w:t>
            </w:r>
          </w:p>
        </w:tc>
        <w:tc>
          <w:tcPr>
            <w:tcW w:w="0" w:type="dxa"/>
            <w:vAlign w:val="bottom"/>
          </w:tcPr>
          <w:p>
            <w:pPr>
              <w:spacing w:after="0"/>
              <w:rPr>
                <w:sz w:val="1"/>
                <w:szCs w:val="1"/>
                <w:color w:val="auto"/>
              </w:rPr>
            </w:pPr>
          </w:p>
        </w:tc>
      </w:tr>
      <w:tr>
        <w:trPr>
          <w:trHeight w:val="216"/>
        </w:trPr>
        <w:tc>
          <w:tcPr>
            <w:tcW w:w="7500" w:type="dxa"/>
            <w:vAlign w:val="bottom"/>
          </w:tcPr>
          <w:p>
            <w:pPr>
              <w:ind w:left="180"/>
              <w:spacing w:after="0"/>
              <w:rPr>
                <w:sz w:val="20"/>
                <w:szCs w:val="20"/>
                <w:color w:val="auto"/>
              </w:rPr>
            </w:pPr>
            <w:r>
              <w:rPr>
                <w:rFonts w:ascii="Arial" w:cs="Arial" w:eastAsia="Arial" w:hAnsi="Arial"/>
                <w:sz w:val="18"/>
                <w:szCs w:val="18"/>
                <w:color w:val="auto"/>
              </w:rPr>
              <w:t>Due to related parties</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17,130</w:t>
            </w:r>
          </w:p>
        </w:tc>
        <w:tc>
          <w:tcPr>
            <w:tcW w:w="160" w:type="dxa"/>
            <w:vAlign w:val="bottom"/>
          </w:tcPr>
          <w:p>
            <w:pPr>
              <w:spacing w:after="0"/>
              <w:rPr>
                <w:sz w:val="18"/>
                <w:szCs w:val="18"/>
                <w:color w:val="auto"/>
              </w:rPr>
            </w:pPr>
          </w:p>
        </w:tc>
        <w:tc>
          <w:tcPr>
            <w:tcW w:w="1520" w:type="dxa"/>
            <w:vAlign w:val="bottom"/>
            <w:gridSpan w:val="3"/>
          </w:tcPr>
          <w:p>
            <w:pPr>
              <w:jc w:val="right"/>
              <w:ind w:right="100"/>
              <w:spacing w:after="0"/>
              <w:rPr>
                <w:sz w:val="20"/>
                <w:szCs w:val="20"/>
                <w:color w:val="auto"/>
              </w:rPr>
            </w:pPr>
            <w:r>
              <w:rPr>
                <w:rFonts w:ascii="Arial" w:cs="Arial" w:eastAsia="Arial" w:hAnsi="Arial"/>
                <w:sz w:val="18"/>
                <w:szCs w:val="18"/>
                <w:color w:val="auto"/>
              </w:rPr>
              <w:t>18,919</w:t>
            </w: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Warrant liability</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1,179,768</w:t>
            </w:r>
          </w:p>
        </w:tc>
        <w:tc>
          <w:tcPr>
            <w:tcW w:w="160" w:type="dxa"/>
            <w:vAlign w:val="bottom"/>
            <w:shd w:val="clear" w:color="auto" w:fill="EEEEEE"/>
          </w:tcPr>
          <w:p>
            <w:pPr>
              <w:spacing w:after="0"/>
              <w:rPr>
                <w:sz w:val="18"/>
                <w:szCs w:val="18"/>
                <w:color w:val="auto"/>
              </w:rPr>
            </w:pPr>
          </w:p>
        </w:tc>
        <w:tc>
          <w:tcPr>
            <w:tcW w:w="14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1,179,768</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tcPr>
          <w:p>
            <w:pPr>
              <w:ind w:left="360"/>
              <w:spacing w:after="0"/>
              <w:rPr>
                <w:sz w:val="20"/>
                <w:szCs w:val="20"/>
                <w:color w:val="auto"/>
              </w:rPr>
            </w:pPr>
            <w:r>
              <w:rPr>
                <w:rFonts w:ascii="Arial" w:cs="Arial" w:eastAsia="Arial" w:hAnsi="Arial"/>
                <w:sz w:val="18"/>
                <w:szCs w:val="18"/>
                <w:color w:val="auto"/>
              </w:rPr>
              <w:t>Long-term secured other borrowing – current portion</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167,131</w:t>
            </w:r>
          </w:p>
        </w:tc>
        <w:tc>
          <w:tcPr>
            <w:tcW w:w="16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214,913</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Dividend payable</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22,312</w:t>
            </w:r>
          </w:p>
        </w:tc>
        <w:tc>
          <w:tcPr>
            <w:tcW w:w="160" w:type="dxa"/>
            <w:vAlign w:val="bottom"/>
            <w:shd w:val="clear" w:color="auto" w:fill="EEEEEE"/>
          </w:tcPr>
          <w:p>
            <w:pPr>
              <w:spacing w:after="0"/>
              <w:rPr>
                <w:sz w:val="18"/>
                <w:szCs w:val="18"/>
                <w:color w:val="auto"/>
              </w:rPr>
            </w:pPr>
          </w:p>
        </w:tc>
        <w:tc>
          <w:tcPr>
            <w:tcW w:w="152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22,312</w:t>
            </w:r>
          </w:p>
        </w:tc>
        <w:tc>
          <w:tcPr>
            <w:tcW w:w="0" w:type="dxa"/>
            <w:vAlign w:val="bottom"/>
          </w:tcPr>
          <w:p>
            <w:pPr>
              <w:spacing w:after="0"/>
              <w:rPr>
                <w:sz w:val="1"/>
                <w:szCs w:val="1"/>
                <w:color w:val="auto"/>
              </w:rPr>
            </w:pPr>
          </w:p>
        </w:tc>
      </w:tr>
      <w:tr>
        <w:trPr>
          <w:trHeight w:val="216"/>
        </w:trPr>
        <w:tc>
          <w:tcPr>
            <w:tcW w:w="7500" w:type="dxa"/>
            <w:vAlign w:val="bottom"/>
          </w:tcPr>
          <w:p>
            <w:pPr>
              <w:ind w:left="180"/>
              <w:spacing w:after="0"/>
              <w:rPr>
                <w:sz w:val="20"/>
                <w:szCs w:val="20"/>
                <w:color w:val="auto"/>
              </w:rPr>
            </w:pPr>
            <w:r>
              <w:rPr>
                <w:rFonts w:ascii="Arial" w:cs="Arial" w:eastAsia="Arial" w:hAnsi="Arial"/>
                <w:sz w:val="18"/>
                <w:szCs w:val="18"/>
                <w:color w:val="auto"/>
              </w:rPr>
              <w:t>Income tax payable</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1,805</w:t>
            </w:r>
          </w:p>
        </w:tc>
        <w:tc>
          <w:tcPr>
            <w:tcW w:w="16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1,920</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5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Total current liabilities</w:t>
            </w:r>
          </w:p>
        </w:tc>
        <w:tc>
          <w:tcPr>
            <w:tcW w:w="16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1,437,919</w:t>
            </w:r>
          </w:p>
        </w:tc>
        <w:tc>
          <w:tcPr>
            <w:tcW w:w="160" w:type="dxa"/>
            <w:vAlign w:val="bottom"/>
            <w:shd w:val="clear" w:color="auto" w:fill="EEEEEE"/>
          </w:tcPr>
          <w:p>
            <w:pPr>
              <w:spacing w:after="0"/>
              <w:rPr>
                <w:sz w:val="19"/>
                <w:szCs w:val="19"/>
                <w:color w:val="auto"/>
              </w:rPr>
            </w:pPr>
          </w:p>
        </w:tc>
        <w:tc>
          <w:tcPr>
            <w:tcW w:w="14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1,521,731</w:t>
            </w:r>
          </w:p>
        </w:tc>
        <w:tc>
          <w:tcPr>
            <w:tcW w:w="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500" w:type="dxa"/>
            <w:vAlign w:val="bottom"/>
          </w:tcPr>
          <w:p>
            <w:pPr>
              <w:ind w:left="180"/>
              <w:spacing w:after="0"/>
              <w:rPr>
                <w:sz w:val="20"/>
                <w:szCs w:val="20"/>
                <w:color w:val="auto"/>
              </w:rPr>
            </w:pPr>
            <w:r>
              <w:rPr>
                <w:rFonts w:ascii="Arial" w:cs="Arial" w:eastAsia="Arial" w:hAnsi="Arial"/>
                <w:sz w:val="18"/>
                <w:szCs w:val="18"/>
                <w:color w:val="auto"/>
              </w:rPr>
              <w:t>Long-term secured other borrowing</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337,451</w:t>
            </w:r>
          </w:p>
        </w:tc>
        <w:tc>
          <w:tcPr>
            <w:tcW w:w="3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436,341</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Total liabilities</w:t>
            </w:r>
          </w:p>
        </w:tc>
        <w:tc>
          <w:tcPr>
            <w:tcW w:w="16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1,775,370</w:t>
            </w:r>
          </w:p>
        </w:tc>
        <w:tc>
          <w:tcPr>
            <w:tcW w:w="160" w:type="dxa"/>
            <w:vAlign w:val="bottom"/>
            <w:shd w:val="clear" w:color="auto" w:fill="EEEEEE"/>
          </w:tcPr>
          <w:p>
            <w:pPr>
              <w:spacing w:after="0"/>
              <w:rPr>
                <w:sz w:val="19"/>
                <w:szCs w:val="19"/>
                <w:color w:val="auto"/>
              </w:rPr>
            </w:pPr>
          </w:p>
        </w:tc>
        <w:tc>
          <w:tcPr>
            <w:tcW w:w="14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1,958,072</w:t>
            </w:r>
          </w:p>
        </w:tc>
        <w:tc>
          <w:tcPr>
            <w:tcW w:w="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500" w:type="dxa"/>
            <w:vAlign w:val="bottom"/>
          </w:tcPr>
          <w:p>
            <w:pPr>
              <w:spacing w:after="0"/>
              <w:rPr>
                <w:sz w:val="20"/>
                <w:szCs w:val="20"/>
                <w:color w:val="auto"/>
              </w:rPr>
            </w:pPr>
            <w:r>
              <w:rPr>
                <w:rFonts w:ascii="Arial" w:cs="Arial" w:eastAsia="Arial" w:hAnsi="Arial"/>
                <w:sz w:val="18"/>
                <w:szCs w:val="18"/>
                <w:b w:val="1"/>
                <w:bCs w:val="1"/>
                <w:color w:val="auto"/>
              </w:rPr>
              <w:t>Equity</w:t>
            </w:r>
          </w:p>
        </w:tc>
        <w:tc>
          <w:tcPr>
            <w:tcW w:w="1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7500" w:type="dxa"/>
            <w:vAlign w:val="bottom"/>
            <w:shd w:val="clear" w:color="auto" w:fill="EEEEEE"/>
          </w:tcPr>
          <w:p>
            <w:pPr>
              <w:ind w:left="180"/>
              <w:spacing w:after="0" w:line="201" w:lineRule="exact"/>
              <w:rPr>
                <w:sz w:val="20"/>
                <w:szCs w:val="20"/>
                <w:color w:val="auto"/>
              </w:rPr>
            </w:pPr>
            <w:r>
              <w:rPr>
                <w:rFonts w:ascii="Arial" w:cs="Arial" w:eastAsia="Arial" w:hAnsi="Arial"/>
                <w:sz w:val="18"/>
                <w:szCs w:val="18"/>
                <w:color w:val="auto"/>
                <w:w w:val="90"/>
              </w:rPr>
              <w:t>Common stock ($0.001 par value; authorized 200,000,000 shares; 10,019,295 shares and 9,243,587</w:t>
            </w:r>
          </w:p>
        </w:tc>
        <w:tc>
          <w:tcPr>
            <w:tcW w:w="160" w:type="dxa"/>
            <w:vAlign w:val="bottom"/>
            <w:shd w:val="clear" w:color="auto" w:fill="EEEEEE"/>
          </w:tcPr>
          <w:p>
            <w:pPr>
              <w:spacing w:after="0"/>
              <w:rPr>
                <w:sz w:val="17"/>
                <w:szCs w:val="17"/>
                <w:color w:val="auto"/>
              </w:rPr>
            </w:pPr>
          </w:p>
        </w:tc>
        <w:tc>
          <w:tcPr>
            <w:tcW w:w="160" w:type="dxa"/>
            <w:vAlign w:val="bottom"/>
            <w:shd w:val="clear" w:color="auto" w:fill="EEEEEE"/>
          </w:tcPr>
          <w:p>
            <w:pPr>
              <w:spacing w:after="0"/>
              <w:rPr>
                <w:sz w:val="17"/>
                <w:szCs w:val="17"/>
                <w:color w:val="auto"/>
              </w:rPr>
            </w:pPr>
          </w:p>
        </w:tc>
        <w:tc>
          <w:tcPr>
            <w:tcW w:w="142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60" w:type="dxa"/>
            <w:vAlign w:val="bottom"/>
            <w:shd w:val="clear" w:color="auto" w:fill="EEEEEE"/>
          </w:tcPr>
          <w:p>
            <w:pPr>
              <w:spacing w:after="0"/>
              <w:rPr>
                <w:sz w:val="17"/>
                <w:szCs w:val="17"/>
                <w:color w:val="auto"/>
              </w:rPr>
            </w:pPr>
          </w:p>
        </w:tc>
        <w:tc>
          <w:tcPr>
            <w:tcW w:w="142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7500" w:type="dxa"/>
            <w:vAlign w:val="bottom"/>
            <w:shd w:val="clear" w:color="auto" w:fill="EEEEEE"/>
          </w:tcPr>
          <w:p>
            <w:pPr>
              <w:ind w:left="360"/>
              <w:spacing w:after="0"/>
              <w:rPr>
                <w:sz w:val="20"/>
                <w:szCs w:val="20"/>
                <w:color w:val="auto"/>
              </w:rPr>
            </w:pPr>
            <w:r>
              <w:rPr>
                <w:rFonts w:ascii="Arial" w:cs="Arial" w:eastAsia="Arial" w:hAnsi="Arial"/>
                <w:sz w:val="18"/>
                <w:szCs w:val="18"/>
                <w:color w:val="auto"/>
                <w:w w:val="93"/>
              </w:rPr>
              <w:t>shares issued and outstanding as of September 30, 2023 and December 31, 2022, respectively)</w:t>
            </w:r>
          </w:p>
        </w:tc>
        <w:tc>
          <w:tcPr>
            <w:tcW w:w="160" w:type="dxa"/>
            <w:vAlign w:val="bottom"/>
            <w:shd w:val="clear" w:color="auto" w:fill="EEEEEE"/>
          </w:tcPr>
          <w:p>
            <w:pPr>
              <w:spacing w:after="0"/>
              <w:rPr>
                <w:sz w:val="20"/>
                <w:szCs w:val="20"/>
                <w:color w:val="auto"/>
              </w:rPr>
            </w:pPr>
          </w:p>
        </w:tc>
        <w:tc>
          <w:tcPr>
            <w:tcW w:w="160" w:type="dxa"/>
            <w:vAlign w:val="bottom"/>
            <w:shd w:val="clear" w:color="auto" w:fill="EEEEEE"/>
          </w:tcPr>
          <w:p>
            <w:pPr>
              <w:spacing w:after="0"/>
              <w:rPr>
                <w:sz w:val="20"/>
                <w:szCs w:val="20"/>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10,019</w:t>
            </w:r>
          </w:p>
        </w:tc>
        <w:tc>
          <w:tcPr>
            <w:tcW w:w="160" w:type="dxa"/>
            <w:vAlign w:val="bottom"/>
            <w:shd w:val="clear" w:color="auto" w:fill="EEEEEE"/>
          </w:tcPr>
          <w:p>
            <w:pPr>
              <w:spacing w:after="0"/>
              <w:rPr>
                <w:sz w:val="20"/>
                <w:szCs w:val="20"/>
                <w:color w:val="auto"/>
              </w:rPr>
            </w:pPr>
          </w:p>
        </w:tc>
        <w:tc>
          <w:tcPr>
            <w:tcW w:w="144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9,243</w:t>
            </w:r>
          </w:p>
        </w:tc>
        <w:tc>
          <w:tcPr>
            <w:tcW w:w="80" w:type="dxa"/>
            <w:vAlign w:val="bottom"/>
            <w:shd w:val="clear" w:color="auto" w:fill="EEEEEE"/>
          </w:tcPr>
          <w:p>
            <w:pPr>
              <w:spacing w:after="0"/>
              <w:rPr>
                <w:sz w:val="20"/>
                <w:szCs w:val="20"/>
                <w:color w:val="auto"/>
              </w:rPr>
            </w:pPr>
          </w:p>
        </w:tc>
        <w:tc>
          <w:tcPr>
            <w:tcW w:w="0" w:type="dxa"/>
            <w:vAlign w:val="bottom"/>
          </w:tcPr>
          <w:p>
            <w:pPr>
              <w:spacing w:after="0"/>
              <w:rPr>
                <w:sz w:val="1"/>
                <w:szCs w:val="1"/>
                <w:color w:val="auto"/>
              </w:rPr>
            </w:pPr>
          </w:p>
        </w:tc>
      </w:tr>
      <w:tr>
        <w:trPr>
          <w:trHeight w:val="202"/>
        </w:trPr>
        <w:tc>
          <w:tcPr>
            <w:tcW w:w="7500" w:type="dxa"/>
            <w:vAlign w:val="bottom"/>
          </w:tcPr>
          <w:p>
            <w:pPr>
              <w:ind w:left="180"/>
              <w:spacing w:after="0" w:line="201" w:lineRule="exact"/>
              <w:rPr>
                <w:sz w:val="20"/>
                <w:szCs w:val="20"/>
                <w:color w:val="auto"/>
              </w:rPr>
            </w:pPr>
            <w:r>
              <w:rPr>
                <w:rFonts w:ascii="Arial" w:cs="Arial" w:eastAsia="Arial" w:hAnsi="Arial"/>
                <w:sz w:val="18"/>
                <w:szCs w:val="18"/>
                <w:color w:val="auto"/>
              </w:rPr>
              <w:t>Preferred stock ($0.001 par value; authorized 10,000,000 shares; Series A Preferred Stock,</w:t>
            </w:r>
          </w:p>
        </w:tc>
        <w:tc>
          <w:tcPr>
            <w:tcW w:w="1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500" w:type="dxa"/>
            <w:vAlign w:val="bottom"/>
          </w:tcPr>
          <w:p>
            <w:pPr>
              <w:ind w:left="360"/>
              <w:spacing w:after="0"/>
              <w:rPr>
                <w:sz w:val="20"/>
                <w:szCs w:val="20"/>
                <w:color w:val="auto"/>
              </w:rPr>
            </w:pPr>
            <w:r>
              <w:rPr>
                <w:rFonts w:ascii="Arial" w:cs="Arial" w:eastAsia="Arial" w:hAnsi="Arial"/>
                <w:sz w:val="18"/>
                <w:szCs w:val="18"/>
                <w:color w:val="auto"/>
                <w:w w:val="97"/>
              </w:rPr>
              <w:t>2,000,000 authorized, 80,000 shares issued and outstanding as of September 30, 2023 and</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00" w:type="dxa"/>
            <w:vAlign w:val="bottom"/>
          </w:tcPr>
          <w:p>
            <w:pPr>
              <w:ind w:left="360"/>
              <w:spacing w:after="0"/>
              <w:rPr>
                <w:sz w:val="20"/>
                <w:szCs w:val="20"/>
                <w:color w:val="auto"/>
              </w:rPr>
            </w:pPr>
            <w:r>
              <w:rPr>
                <w:rFonts w:ascii="Arial" w:cs="Arial" w:eastAsia="Arial" w:hAnsi="Arial"/>
                <w:sz w:val="18"/>
                <w:szCs w:val="18"/>
                <w:color w:val="auto"/>
              </w:rPr>
              <w:t>December 31, 2022, respectively)</w:t>
            </w: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80</w:t>
            </w:r>
          </w:p>
        </w:tc>
        <w:tc>
          <w:tcPr>
            <w:tcW w:w="160" w:type="dxa"/>
            <w:vAlign w:val="bottom"/>
          </w:tcPr>
          <w:p>
            <w:pPr>
              <w:spacing w:after="0"/>
              <w:rPr>
                <w:sz w:val="20"/>
                <w:szCs w:val="20"/>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80</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Additional paid-in capital</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74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21,780,117</w:t>
            </w:r>
          </w:p>
        </w:tc>
        <w:tc>
          <w:tcPr>
            <w:tcW w:w="160" w:type="dxa"/>
            <w:vAlign w:val="bottom"/>
            <w:shd w:val="clear" w:color="auto" w:fill="EEEEEE"/>
          </w:tcPr>
          <w:p>
            <w:pPr>
              <w:spacing w:after="0"/>
              <w:rPr>
                <w:sz w:val="18"/>
                <w:szCs w:val="18"/>
                <w:color w:val="auto"/>
              </w:rPr>
            </w:pPr>
          </w:p>
        </w:tc>
        <w:tc>
          <w:tcPr>
            <w:tcW w:w="152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20,484,518</w:t>
            </w:r>
          </w:p>
        </w:tc>
        <w:tc>
          <w:tcPr>
            <w:tcW w:w="0" w:type="dxa"/>
            <w:vAlign w:val="bottom"/>
          </w:tcPr>
          <w:p>
            <w:pPr>
              <w:spacing w:after="0"/>
              <w:rPr>
                <w:sz w:val="1"/>
                <w:szCs w:val="1"/>
                <w:color w:val="auto"/>
              </w:rPr>
            </w:pPr>
          </w:p>
        </w:tc>
      </w:tr>
      <w:tr>
        <w:trPr>
          <w:trHeight w:val="216"/>
        </w:trPr>
        <w:tc>
          <w:tcPr>
            <w:tcW w:w="7500" w:type="dxa"/>
            <w:vAlign w:val="bottom"/>
          </w:tcPr>
          <w:p>
            <w:pPr>
              <w:ind w:left="180"/>
              <w:spacing w:after="0"/>
              <w:rPr>
                <w:sz w:val="20"/>
                <w:szCs w:val="20"/>
                <w:color w:val="auto"/>
              </w:rPr>
            </w:pPr>
            <w:r>
              <w:rPr>
                <w:rFonts w:ascii="Arial" w:cs="Arial" w:eastAsia="Arial" w:hAnsi="Arial"/>
                <w:sz w:val="18"/>
                <w:szCs w:val="18"/>
                <w:color w:val="auto"/>
              </w:rPr>
              <w:t>Statutory and other reserves</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191,219</w:t>
            </w:r>
          </w:p>
        </w:tc>
        <w:tc>
          <w:tcPr>
            <w:tcW w:w="160" w:type="dxa"/>
            <w:vAlign w:val="bottom"/>
          </w:tcPr>
          <w:p>
            <w:pPr>
              <w:spacing w:after="0"/>
              <w:rPr>
                <w:sz w:val="18"/>
                <w:szCs w:val="18"/>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191,219</w:t>
            </w: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0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(Accumulated losses) retained earnings</w:t>
            </w: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74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(16,310,542)</w:t>
            </w:r>
          </w:p>
        </w:tc>
        <w:tc>
          <w:tcPr>
            <w:tcW w:w="160" w:type="dxa"/>
            <w:vAlign w:val="bottom"/>
            <w:shd w:val="clear" w:color="auto" w:fill="EEEEEE"/>
          </w:tcPr>
          <w:p>
            <w:pPr>
              <w:spacing w:after="0"/>
              <w:rPr>
                <w:sz w:val="18"/>
                <w:szCs w:val="18"/>
                <w:color w:val="auto"/>
              </w:rPr>
            </w:pPr>
          </w:p>
        </w:tc>
        <w:tc>
          <w:tcPr>
            <w:tcW w:w="152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(14,747,461)</w:t>
            </w:r>
          </w:p>
        </w:tc>
        <w:tc>
          <w:tcPr>
            <w:tcW w:w="0" w:type="dxa"/>
            <w:vAlign w:val="bottom"/>
          </w:tcPr>
          <w:p>
            <w:pPr>
              <w:spacing w:after="0"/>
              <w:rPr>
                <w:sz w:val="1"/>
                <w:szCs w:val="1"/>
                <w:color w:val="auto"/>
              </w:rPr>
            </w:pPr>
          </w:p>
        </w:tc>
      </w:tr>
      <w:tr>
        <w:trPr>
          <w:trHeight w:val="230"/>
        </w:trPr>
        <w:tc>
          <w:tcPr>
            <w:tcW w:w="7500" w:type="dxa"/>
            <w:vAlign w:val="bottom"/>
          </w:tcPr>
          <w:p>
            <w:pPr>
              <w:ind w:left="180"/>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41,518</w:t>
            </w:r>
          </w:p>
        </w:tc>
        <w:tc>
          <w:tcPr>
            <w:tcW w:w="160" w:type="dxa"/>
            <w:vAlign w:val="bottom"/>
          </w:tcPr>
          <w:p>
            <w:pPr>
              <w:spacing w:after="0"/>
              <w:rPr>
                <w:sz w:val="19"/>
                <w:szCs w:val="19"/>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103,594</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750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Nocera, Inc.’s stockholders’ equity</w:t>
            </w:r>
          </w:p>
        </w:tc>
        <w:tc>
          <w:tcPr>
            <w:tcW w:w="160" w:type="dxa"/>
            <w:vAlign w:val="bottom"/>
            <w:tcBorders>
              <w:top w:val="single" w:sz="8" w:color="EEEEEE"/>
            </w:tcBorders>
            <w:shd w:val="clear" w:color="auto" w:fill="EEEEEE"/>
          </w:tcPr>
          <w:p>
            <w:pPr>
              <w:spacing w:after="0"/>
              <w:rPr>
                <w:sz w:val="18"/>
                <w:szCs w:val="18"/>
                <w:color w:val="auto"/>
              </w:rPr>
            </w:pPr>
          </w:p>
        </w:tc>
        <w:tc>
          <w:tcPr>
            <w:tcW w:w="160" w:type="dxa"/>
            <w:vAlign w:val="bottom"/>
            <w:tcBorders>
              <w:top w:val="single" w:sz="8" w:color="auto"/>
            </w:tcBorders>
            <w:shd w:val="clear" w:color="auto" w:fill="EEEEEE"/>
          </w:tcPr>
          <w:p>
            <w:pPr>
              <w:spacing w:after="0"/>
              <w:rPr>
                <w:sz w:val="18"/>
                <w:szCs w:val="18"/>
                <w:color w:val="auto"/>
              </w:rPr>
            </w:pPr>
          </w:p>
        </w:tc>
        <w:tc>
          <w:tcPr>
            <w:tcW w:w="142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5,712,411</w:t>
            </w:r>
          </w:p>
        </w:tc>
        <w:tc>
          <w:tcPr>
            <w:tcW w:w="320" w:type="dxa"/>
            <w:vAlign w:val="bottom"/>
            <w:tcBorders>
              <w:top w:val="single" w:sz="8" w:color="EEEEEE"/>
            </w:tcBorders>
            <w:shd w:val="clear" w:color="auto" w:fill="EEEEEE"/>
          </w:tcPr>
          <w:p>
            <w:pPr>
              <w:spacing w:after="0"/>
              <w:rPr>
                <w:sz w:val="18"/>
                <w:szCs w:val="18"/>
                <w:color w:val="auto"/>
              </w:rPr>
            </w:pPr>
          </w:p>
        </w:tc>
        <w:tc>
          <w:tcPr>
            <w:tcW w:w="160" w:type="dxa"/>
            <w:vAlign w:val="bottom"/>
            <w:tcBorders>
              <w:top w:val="single" w:sz="8" w:color="auto"/>
            </w:tcBorders>
            <w:shd w:val="clear" w:color="auto" w:fill="EEEEEE"/>
          </w:tcPr>
          <w:p>
            <w:pPr>
              <w:spacing w:after="0"/>
              <w:rPr>
                <w:sz w:val="18"/>
                <w:szCs w:val="18"/>
                <w:color w:val="auto"/>
              </w:rPr>
            </w:pPr>
          </w:p>
        </w:tc>
        <w:tc>
          <w:tcPr>
            <w:tcW w:w="142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6,041,193</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00" w:type="dxa"/>
            <w:vAlign w:val="bottom"/>
          </w:tcPr>
          <w:p>
            <w:pPr>
              <w:spacing w:after="0"/>
              <w:rPr>
                <w:sz w:val="20"/>
                <w:szCs w:val="20"/>
                <w:color w:val="auto"/>
              </w:rPr>
            </w:pPr>
            <w:r>
              <w:rPr>
                <w:rFonts w:ascii="Arial" w:cs="Arial" w:eastAsia="Arial" w:hAnsi="Arial"/>
                <w:sz w:val="18"/>
                <w:szCs w:val="18"/>
                <w:color w:val="auto"/>
              </w:rPr>
              <w:t>Non-controlling interests</w:t>
            </w:r>
          </w:p>
        </w:tc>
        <w:tc>
          <w:tcPr>
            <w:tcW w:w="1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90,385</w:t>
            </w:r>
          </w:p>
        </w:tc>
        <w:tc>
          <w:tcPr>
            <w:tcW w:w="160" w:type="dxa"/>
            <w:vAlign w:val="bottom"/>
          </w:tcPr>
          <w:p>
            <w:pPr>
              <w:spacing w:after="0"/>
              <w:rPr>
                <w:sz w:val="19"/>
                <w:szCs w:val="19"/>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141,054</w:t>
            </w: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750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equity</w:t>
            </w:r>
          </w:p>
        </w:tc>
        <w:tc>
          <w:tcPr>
            <w:tcW w:w="160" w:type="dxa"/>
            <w:vAlign w:val="bottom"/>
            <w:tcBorders>
              <w:top w:val="single" w:sz="8" w:color="EEEEEE"/>
            </w:tcBorders>
            <w:shd w:val="clear" w:color="auto" w:fill="EEEEEE"/>
          </w:tcPr>
          <w:p>
            <w:pPr>
              <w:spacing w:after="0"/>
              <w:rPr>
                <w:sz w:val="18"/>
                <w:szCs w:val="18"/>
                <w:color w:val="auto"/>
              </w:rPr>
            </w:pPr>
          </w:p>
        </w:tc>
        <w:tc>
          <w:tcPr>
            <w:tcW w:w="160" w:type="dxa"/>
            <w:vAlign w:val="bottom"/>
            <w:tcBorders>
              <w:top w:val="single" w:sz="8" w:color="auto"/>
              <w:bottom w:val="single" w:sz="8" w:color="auto"/>
            </w:tcBorders>
            <w:shd w:val="clear" w:color="auto" w:fill="EEEEEE"/>
          </w:tcPr>
          <w:p>
            <w:pPr>
              <w:spacing w:after="0"/>
              <w:rPr>
                <w:sz w:val="18"/>
                <w:szCs w:val="18"/>
                <w:color w:val="auto"/>
              </w:rPr>
            </w:pPr>
          </w:p>
        </w:tc>
        <w:tc>
          <w:tcPr>
            <w:tcW w:w="14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5,802,796</w:t>
            </w:r>
          </w:p>
        </w:tc>
        <w:tc>
          <w:tcPr>
            <w:tcW w:w="320" w:type="dxa"/>
            <w:vAlign w:val="bottom"/>
            <w:tcBorders>
              <w:top w:val="single" w:sz="8" w:color="EEEEEE"/>
            </w:tcBorders>
            <w:shd w:val="clear" w:color="auto" w:fill="EEEEEE"/>
          </w:tcPr>
          <w:p>
            <w:pPr>
              <w:spacing w:after="0"/>
              <w:rPr>
                <w:sz w:val="18"/>
                <w:szCs w:val="18"/>
                <w:color w:val="auto"/>
              </w:rPr>
            </w:pPr>
          </w:p>
        </w:tc>
        <w:tc>
          <w:tcPr>
            <w:tcW w:w="160" w:type="dxa"/>
            <w:vAlign w:val="bottom"/>
            <w:tcBorders>
              <w:top w:val="single" w:sz="8" w:color="auto"/>
              <w:bottom w:val="single" w:sz="8" w:color="auto"/>
            </w:tcBorders>
            <w:shd w:val="clear" w:color="auto" w:fill="EEEEEE"/>
          </w:tcPr>
          <w:p>
            <w:pPr>
              <w:spacing w:after="0"/>
              <w:rPr>
                <w:sz w:val="18"/>
                <w:szCs w:val="18"/>
                <w:color w:val="auto"/>
              </w:rPr>
            </w:pPr>
          </w:p>
        </w:tc>
        <w:tc>
          <w:tcPr>
            <w:tcW w:w="14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6,182,247</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500" w:type="dxa"/>
            <w:vAlign w:val="bottom"/>
          </w:tcPr>
          <w:p>
            <w:pPr>
              <w:spacing w:after="0"/>
              <w:rPr>
                <w:sz w:val="20"/>
                <w:szCs w:val="20"/>
                <w:color w:val="auto"/>
              </w:rPr>
            </w:pPr>
            <w:r>
              <w:rPr>
                <w:rFonts w:ascii="Arial" w:cs="Arial" w:eastAsia="Arial" w:hAnsi="Arial"/>
                <w:sz w:val="18"/>
                <w:szCs w:val="18"/>
                <w:b w:val="1"/>
                <w:bCs w:val="1"/>
                <w:color w:val="auto"/>
              </w:rPr>
              <w:t>Total liabilities and equity</w:t>
            </w:r>
          </w:p>
        </w:tc>
        <w:tc>
          <w:tcPr>
            <w:tcW w:w="16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7,578,166</w:t>
            </w:r>
          </w:p>
        </w:tc>
        <w:tc>
          <w:tcPr>
            <w:tcW w:w="320" w:type="dxa"/>
            <w:vAlign w:val="bottom"/>
          </w:tcPr>
          <w:p>
            <w:pPr>
              <w:spacing w:after="0"/>
              <w:rPr>
                <w:sz w:val="19"/>
                <w:szCs w:val="19"/>
                <w:color w:val="auto"/>
              </w:rPr>
            </w:pPr>
          </w:p>
        </w:tc>
        <w:tc>
          <w:tcPr>
            <w:tcW w:w="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8,140,319</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STATEMENTS OF OPERATIONS AND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80" w:type="dxa"/>
            <w:vAlign w:val="bottom"/>
            <w:gridSpan w:val="6"/>
          </w:tcPr>
          <w:p>
            <w:pPr>
              <w:jc w:val="center"/>
              <w:ind w:right="421"/>
              <w:spacing w:after="0"/>
              <w:rPr>
                <w:sz w:val="20"/>
                <w:szCs w:val="20"/>
                <w:color w:val="auto"/>
              </w:rPr>
            </w:pPr>
            <w:r>
              <w:rPr>
                <w:rFonts w:ascii="Arial" w:cs="Arial" w:eastAsia="Arial" w:hAnsi="Arial"/>
                <w:sz w:val="18"/>
                <w:szCs w:val="18"/>
                <w:b w:val="1"/>
                <w:bCs w:val="1"/>
                <w:color w:val="auto"/>
                <w:w w:val="89"/>
              </w:rPr>
              <w:t>Three months ended</w:t>
            </w:r>
          </w:p>
        </w:tc>
        <w:tc>
          <w:tcPr>
            <w:tcW w:w="100" w:type="dxa"/>
            <w:vAlign w:val="bottom"/>
          </w:tcPr>
          <w:p>
            <w:pPr>
              <w:spacing w:after="0"/>
              <w:rPr>
                <w:sz w:val="18"/>
                <w:szCs w:val="18"/>
                <w:color w:val="auto"/>
              </w:rPr>
            </w:pPr>
          </w:p>
        </w:tc>
        <w:tc>
          <w:tcPr>
            <w:tcW w:w="3000" w:type="dxa"/>
            <w:vAlign w:val="bottom"/>
            <w:gridSpan w:val="7"/>
          </w:tcPr>
          <w:p>
            <w:pPr>
              <w:jc w:val="right"/>
              <w:ind w:right="880"/>
              <w:spacing w:after="0"/>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34"/>
        </w:trPr>
        <w:tc>
          <w:tcPr>
            <w:tcW w:w="474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020" w:type="dxa"/>
            <w:vAlign w:val="bottom"/>
            <w:tcBorders>
              <w:bottom w:val="single" w:sz="8" w:color="auto"/>
            </w:tcBorders>
            <w:gridSpan w:val="4"/>
          </w:tcPr>
          <w:p>
            <w:pPr>
              <w:jc w:val="center"/>
              <w:ind w:left="710"/>
              <w:spacing w:after="0"/>
              <w:rPr>
                <w:sz w:val="20"/>
                <w:szCs w:val="20"/>
                <w:color w:val="auto"/>
              </w:rPr>
            </w:pPr>
            <w:r>
              <w:rPr>
                <w:rFonts w:ascii="Arial" w:cs="Arial" w:eastAsia="Arial" w:hAnsi="Arial"/>
                <w:sz w:val="18"/>
                <w:szCs w:val="18"/>
                <w:b w:val="1"/>
                <w:bCs w:val="1"/>
                <w:color w:val="auto"/>
                <w:w w:val="89"/>
              </w:rPr>
              <w:t>September 30,</w:t>
            </w:r>
          </w:p>
        </w:tc>
        <w:tc>
          <w:tcPr>
            <w:tcW w:w="940" w:type="dxa"/>
            <w:vAlign w:val="bottom"/>
            <w:tcBorders>
              <w:bottom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000" w:type="dxa"/>
            <w:vAlign w:val="bottom"/>
            <w:tcBorders>
              <w:bottom w:val="single" w:sz="8" w:color="auto"/>
            </w:tcBorders>
            <w:gridSpan w:val="4"/>
          </w:tcPr>
          <w:p>
            <w:pPr>
              <w:ind w:left="840"/>
              <w:spacing w:after="0"/>
              <w:rPr>
                <w:sz w:val="20"/>
                <w:szCs w:val="20"/>
                <w:color w:val="auto"/>
              </w:rPr>
            </w:pPr>
            <w:r>
              <w:rPr>
                <w:rFonts w:ascii="Arial" w:cs="Arial" w:eastAsia="Arial" w:hAnsi="Arial"/>
                <w:sz w:val="18"/>
                <w:szCs w:val="18"/>
                <w:b w:val="1"/>
                <w:bCs w:val="1"/>
                <w:color w:val="auto"/>
                <w:w w:val="92"/>
              </w:rPr>
              <w:t>September 30,</w:t>
            </w:r>
          </w:p>
        </w:tc>
        <w:tc>
          <w:tcPr>
            <w:tcW w:w="90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4740" w:type="dxa"/>
            <w:vAlign w:val="bottom"/>
          </w:tcPr>
          <w:p>
            <w:pPr>
              <w:spacing w:after="0"/>
              <w:rPr>
                <w:sz w:val="16"/>
                <w:szCs w:val="16"/>
                <w:color w:val="auto"/>
              </w:rPr>
            </w:pPr>
          </w:p>
        </w:tc>
        <w:tc>
          <w:tcPr>
            <w:tcW w:w="1360" w:type="dxa"/>
            <w:vAlign w:val="bottom"/>
            <w:gridSpan w:val="2"/>
          </w:tcPr>
          <w:p>
            <w:pPr>
              <w:jc w:val="right"/>
              <w:ind w:right="410"/>
              <w:spacing w:after="0" w:line="195" w:lineRule="exact"/>
              <w:rPr>
                <w:sz w:val="20"/>
                <w:szCs w:val="20"/>
                <w:color w:val="auto"/>
              </w:rPr>
            </w:pPr>
            <w:r>
              <w:rPr>
                <w:rFonts w:ascii="Arial" w:cs="Arial" w:eastAsia="Arial" w:hAnsi="Arial"/>
                <w:sz w:val="18"/>
                <w:szCs w:val="18"/>
                <w:b w:val="1"/>
                <w:bCs w:val="1"/>
                <w:color w:val="auto"/>
              </w:rPr>
              <w:t>2023</w:t>
            </w:r>
          </w:p>
        </w:tc>
        <w:tc>
          <w:tcPr>
            <w:tcW w:w="34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320" w:type="dxa"/>
            <w:vAlign w:val="bottom"/>
          </w:tcPr>
          <w:p>
            <w:pPr>
              <w:spacing w:after="0"/>
              <w:rPr>
                <w:sz w:val="16"/>
                <w:szCs w:val="16"/>
                <w:color w:val="auto"/>
              </w:rPr>
            </w:pPr>
          </w:p>
        </w:tc>
        <w:tc>
          <w:tcPr>
            <w:tcW w:w="940" w:type="dxa"/>
            <w:vAlign w:val="bottom"/>
          </w:tcPr>
          <w:p>
            <w:pPr>
              <w:jc w:val="right"/>
              <w:ind w:right="430"/>
              <w:spacing w:after="0" w:line="195" w:lineRule="exact"/>
              <w:rPr>
                <w:sz w:val="20"/>
                <w:szCs w:val="20"/>
                <w:color w:val="auto"/>
              </w:rPr>
            </w:pPr>
            <w:r>
              <w:rPr>
                <w:rFonts w:ascii="Arial" w:cs="Arial" w:eastAsia="Arial" w:hAnsi="Arial"/>
                <w:sz w:val="18"/>
                <w:szCs w:val="18"/>
                <w:b w:val="1"/>
                <w:bCs w:val="1"/>
                <w:color w:val="auto"/>
                <w:w w:val="99"/>
              </w:rPr>
              <w:t>2022</w:t>
            </w:r>
          </w:p>
        </w:tc>
        <w:tc>
          <w:tcPr>
            <w:tcW w:w="320" w:type="dxa"/>
            <w:vAlign w:val="bottom"/>
          </w:tcPr>
          <w:p>
            <w:pPr>
              <w:spacing w:after="0"/>
              <w:rPr>
                <w:sz w:val="16"/>
                <w:szCs w:val="16"/>
                <w:color w:val="auto"/>
              </w:rPr>
            </w:pPr>
          </w:p>
        </w:tc>
        <w:tc>
          <w:tcPr>
            <w:tcW w:w="1340" w:type="dxa"/>
            <w:vAlign w:val="bottom"/>
            <w:gridSpan w:val="2"/>
          </w:tcPr>
          <w:p>
            <w:pPr>
              <w:jc w:val="right"/>
              <w:ind w:right="410"/>
              <w:spacing w:after="0" w:line="195" w:lineRule="exact"/>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900" w:type="dxa"/>
            <w:vAlign w:val="bottom"/>
          </w:tcPr>
          <w:p>
            <w:pPr>
              <w:jc w:val="right"/>
              <w:ind w:right="410"/>
              <w:spacing w:after="0" w:line="195" w:lineRule="exact"/>
              <w:rPr>
                <w:sz w:val="20"/>
                <w:szCs w:val="20"/>
                <w:color w:val="auto"/>
              </w:rPr>
            </w:pPr>
            <w:r>
              <w:rPr>
                <w:rFonts w:ascii="Arial" w:cs="Arial" w:eastAsia="Arial" w:hAnsi="Arial"/>
                <w:sz w:val="18"/>
                <w:szCs w:val="18"/>
                <w:b w:val="1"/>
                <w:bCs w:val="1"/>
                <w:color w:val="auto"/>
                <w:w w:val="94"/>
              </w:rPr>
              <w:t>2022</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4740" w:type="dxa"/>
            <w:vAlign w:val="bottom"/>
          </w:tcPr>
          <w:p>
            <w:pPr>
              <w:spacing w:after="0"/>
              <w:rPr>
                <w:sz w:val="20"/>
                <w:szCs w:val="20"/>
                <w:color w:val="auto"/>
              </w:rPr>
            </w:pPr>
          </w:p>
        </w:tc>
        <w:tc>
          <w:tcPr>
            <w:tcW w:w="1360" w:type="dxa"/>
            <w:vAlign w:val="bottom"/>
            <w:gridSpan w:val="2"/>
          </w:tcPr>
          <w:p>
            <w:pPr>
              <w:jc w:val="right"/>
              <w:ind w:right="55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94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0"/>
                <w:szCs w:val="20"/>
                <w:color w:val="auto"/>
              </w:rPr>
            </w:pPr>
          </w:p>
        </w:tc>
        <w:tc>
          <w:tcPr>
            <w:tcW w:w="1340" w:type="dxa"/>
            <w:vAlign w:val="bottom"/>
            <w:gridSpan w:val="2"/>
          </w:tcPr>
          <w:p>
            <w:pPr>
              <w:jc w:val="right"/>
              <w:ind w:right="5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90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Net sales</w:t>
            </w:r>
          </w:p>
        </w:tc>
        <w:tc>
          <w:tcPr>
            <w:tcW w:w="1700" w:type="dxa"/>
            <w:vAlign w:val="bottom"/>
            <w:gridSpan w:val="3"/>
            <w:shd w:val="clear" w:color="auto" w:fill="EEEEEE"/>
          </w:tcPr>
          <w:p>
            <w:pPr>
              <w:jc w:val="right"/>
              <w:ind w:right="261"/>
              <w:spacing w:after="0"/>
              <w:rPr>
                <w:sz w:val="20"/>
                <w:szCs w:val="20"/>
                <w:color w:val="auto"/>
              </w:rPr>
            </w:pPr>
            <w:r>
              <w:rPr>
                <w:rFonts w:ascii="Arial" w:cs="Arial" w:eastAsia="Arial" w:hAnsi="Arial"/>
                <w:sz w:val="18"/>
                <w:szCs w:val="18"/>
                <w:color w:val="auto"/>
              </w:rPr>
              <w:t>7,283,281</w:t>
            </w:r>
          </w:p>
        </w:tc>
        <w:tc>
          <w:tcPr>
            <w:tcW w:w="1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2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678,772</w:t>
            </w:r>
          </w:p>
        </w:tc>
        <w:tc>
          <w:tcPr>
            <w:tcW w:w="1660" w:type="dxa"/>
            <w:vAlign w:val="bottom"/>
            <w:gridSpan w:val="3"/>
            <w:shd w:val="clear" w:color="auto" w:fill="EEEEEE"/>
          </w:tcPr>
          <w:p>
            <w:pPr>
              <w:jc w:val="right"/>
              <w:ind w:right="241"/>
              <w:spacing w:after="0"/>
              <w:rPr>
                <w:sz w:val="20"/>
                <w:szCs w:val="20"/>
                <w:color w:val="auto"/>
              </w:rPr>
            </w:pPr>
            <w:r>
              <w:rPr>
                <w:rFonts w:ascii="Arial" w:cs="Arial" w:eastAsia="Arial" w:hAnsi="Arial"/>
                <w:sz w:val="18"/>
                <w:szCs w:val="18"/>
                <w:color w:val="auto"/>
              </w:rPr>
              <w:t>16,448,325</w:t>
            </w:r>
          </w:p>
        </w:tc>
        <w:tc>
          <w:tcPr>
            <w:tcW w:w="1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4,201,714</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740" w:type="dxa"/>
            <w:vAlign w:val="bottom"/>
          </w:tcPr>
          <w:p>
            <w:pPr>
              <w:spacing w:after="0"/>
              <w:rPr>
                <w:sz w:val="20"/>
                <w:szCs w:val="20"/>
                <w:color w:val="auto"/>
              </w:rPr>
            </w:pPr>
            <w:r>
              <w:rPr>
                <w:rFonts w:ascii="Arial" w:cs="Arial" w:eastAsia="Arial" w:hAnsi="Arial"/>
                <w:sz w:val="18"/>
                <w:szCs w:val="18"/>
                <w:color w:val="auto"/>
              </w:rPr>
              <w:t>Cost of sales</w:t>
            </w:r>
          </w:p>
        </w:tc>
        <w:tc>
          <w:tcPr>
            <w:tcW w:w="1700" w:type="dxa"/>
            <w:vAlign w:val="bottom"/>
            <w:gridSpan w:val="3"/>
          </w:tcPr>
          <w:p>
            <w:pPr>
              <w:jc w:val="right"/>
              <w:ind w:right="201"/>
              <w:spacing w:after="0"/>
              <w:rPr>
                <w:sz w:val="20"/>
                <w:szCs w:val="20"/>
                <w:color w:val="auto"/>
              </w:rPr>
            </w:pPr>
            <w:r>
              <w:rPr>
                <w:rFonts w:ascii="Arial" w:cs="Arial" w:eastAsia="Arial" w:hAnsi="Arial"/>
                <w:sz w:val="18"/>
                <w:szCs w:val="18"/>
                <w:color w:val="auto"/>
              </w:rPr>
              <w:t>(7,231,912)</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60" w:type="dxa"/>
            <w:vAlign w:val="bottom"/>
            <w:gridSpan w:val="2"/>
          </w:tcPr>
          <w:p>
            <w:pPr>
              <w:jc w:val="right"/>
              <w:ind w:right="181"/>
              <w:spacing w:after="0"/>
              <w:rPr>
                <w:sz w:val="20"/>
                <w:szCs w:val="20"/>
                <w:color w:val="auto"/>
              </w:rPr>
            </w:pPr>
            <w:r>
              <w:rPr>
                <w:rFonts w:ascii="Arial" w:cs="Arial" w:eastAsia="Arial" w:hAnsi="Arial"/>
                <w:sz w:val="18"/>
                <w:szCs w:val="18"/>
                <w:color w:val="auto"/>
              </w:rPr>
              <w:t>(634,166)</w:t>
            </w:r>
          </w:p>
        </w:tc>
        <w:tc>
          <w:tcPr>
            <w:tcW w:w="1660" w:type="dxa"/>
            <w:vAlign w:val="bottom"/>
            <w:gridSpan w:val="3"/>
          </w:tcPr>
          <w:p>
            <w:pPr>
              <w:jc w:val="right"/>
              <w:ind w:right="181"/>
              <w:spacing w:after="0"/>
              <w:rPr>
                <w:sz w:val="20"/>
                <w:szCs w:val="20"/>
                <w:color w:val="auto"/>
              </w:rPr>
            </w:pPr>
            <w:r>
              <w:rPr>
                <w:rFonts w:ascii="Arial" w:cs="Arial" w:eastAsia="Arial" w:hAnsi="Arial"/>
                <w:sz w:val="18"/>
                <w:szCs w:val="18"/>
                <w:color w:val="auto"/>
              </w:rPr>
              <w:t>(16,291,065)</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3"/>
          </w:tcPr>
          <w:p>
            <w:pPr>
              <w:jc w:val="right"/>
              <w:ind w:right="40"/>
              <w:spacing w:after="0"/>
              <w:rPr>
                <w:sz w:val="20"/>
                <w:szCs w:val="20"/>
                <w:color w:val="auto"/>
              </w:rPr>
            </w:pPr>
            <w:r>
              <w:rPr>
                <w:rFonts w:ascii="Arial" w:cs="Arial" w:eastAsia="Arial" w:hAnsi="Arial"/>
                <w:sz w:val="18"/>
                <w:szCs w:val="18"/>
                <w:color w:val="auto"/>
              </w:rPr>
              <w:t>(4,117,852)</w:t>
            </w:r>
          </w:p>
        </w:tc>
        <w:tc>
          <w:tcPr>
            <w:tcW w:w="0" w:type="dxa"/>
            <w:vAlign w:val="bottom"/>
          </w:tcPr>
          <w:p>
            <w:pPr>
              <w:spacing w:after="0"/>
              <w:rPr>
                <w:sz w:val="1"/>
                <w:szCs w:val="1"/>
                <w:color w:val="auto"/>
              </w:rPr>
            </w:pPr>
          </w:p>
        </w:tc>
      </w:tr>
      <w:tr>
        <w:trPr>
          <w:trHeight w:val="209"/>
        </w:trPr>
        <w:tc>
          <w:tcPr>
            <w:tcW w:w="474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Gross profit</w:t>
            </w:r>
          </w:p>
        </w:tc>
        <w:tc>
          <w:tcPr>
            <w:tcW w:w="1360" w:type="dxa"/>
            <w:vAlign w:val="bottom"/>
            <w:tcBorders>
              <w:top w:val="single" w:sz="8" w:color="auto"/>
              <w:bottom w:val="single" w:sz="8" w:color="auto"/>
            </w:tcBorders>
            <w:gridSpan w:val="2"/>
            <w:shd w:val="clear" w:color="auto" w:fill="EEEEEE"/>
          </w:tcPr>
          <w:p>
            <w:pPr>
              <w:jc w:val="right"/>
              <w:spacing w:after="0"/>
              <w:rPr>
                <w:sz w:val="20"/>
                <w:szCs w:val="20"/>
                <w:color w:val="auto"/>
              </w:rPr>
            </w:pPr>
            <w:r>
              <w:rPr>
                <w:rFonts w:ascii="Arial" w:cs="Arial" w:eastAsia="Arial" w:hAnsi="Arial"/>
                <w:sz w:val="18"/>
                <w:szCs w:val="18"/>
                <w:color w:val="auto"/>
              </w:rPr>
              <w:t>51,369</w:t>
            </w:r>
          </w:p>
        </w:tc>
        <w:tc>
          <w:tcPr>
            <w:tcW w:w="34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bottom w:val="single" w:sz="8" w:color="auto"/>
            </w:tcBorders>
            <w:shd w:val="clear" w:color="auto" w:fill="EEEEEE"/>
          </w:tcPr>
          <w:p>
            <w:pPr>
              <w:spacing w:after="0"/>
              <w:rPr>
                <w:sz w:val="18"/>
                <w:szCs w:val="18"/>
                <w:color w:val="auto"/>
              </w:rPr>
            </w:pPr>
          </w:p>
        </w:tc>
        <w:tc>
          <w:tcPr>
            <w:tcW w:w="320" w:type="dxa"/>
            <w:vAlign w:val="bottom"/>
            <w:tcBorders>
              <w:top w:val="single" w:sz="8" w:color="auto"/>
              <w:bottom w:val="single" w:sz="8" w:color="auto"/>
            </w:tcBorders>
            <w:shd w:val="clear" w:color="auto" w:fill="EEEEEE"/>
          </w:tcPr>
          <w:p>
            <w:pPr>
              <w:spacing w:after="0"/>
              <w:rPr>
                <w:sz w:val="18"/>
                <w:szCs w:val="18"/>
                <w:color w:val="auto"/>
              </w:rPr>
            </w:pPr>
          </w:p>
        </w:tc>
        <w:tc>
          <w:tcPr>
            <w:tcW w:w="9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44,606</w:t>
            </w:r>
          </w:p>
        </w:tc>
        <w:tc>
          <w:tcPr>
            <w:tcW w:w="320" w:type="dxa"/>
            <w:vAlign w:val="bottom"/>
            <w:tcBorders>
              <w:top w:val="single" w:sz="8" w:color="EEEEEE"/>
            </w:tcBorders>
            <w:shd w:val="clear" w:color="auto" w:fill="EEEEEE"/>
          </w:tcPr>
          <w:p>
            <w:pPr>
              <w:spacing w:after="0"/>
              <w:rPr>
                <w:sz w:val="18"/>
                <w:szCs w:val="18"/>
                <w:color w:val="auto"/>
              </w:rPr>
            </w:pPr>
          </w:p>
        </w:tc>
        <w:tc>
          <w:tcPr>
            <w:tcW w:w="1340" w:type="dxa"/>
            <w:vAlign w:val="bottom"/>
            <w:tcBorders>
              <w:top w:val="single" w:sz="8" w:color="auto"/>
              <w:bottom w:val="single" w:sz="8" w:color="auto"/>
            </w:tcBorders>
            <w:gridSpan w:val="2"/>
            <w:shd w:val="clear" w:color="auto" w:fill="EEEEEE"/>
          </w:tcPr>
          <w:p>
            <w:pPr>
              <w:jc w:val="right"/>
              <w:spacing w:after="0"/>
              <w:rPr>
                <w:sz w:val="20"/>
                <w:szCs w:val="20"/>
                <w:color w:val="auto"/>
              </w:rPr>
            </w:pPr>
            <w:r>
              <w:rPr>
                <w:rFonts w:ascii="Arial" w:cs="Arial" w:eastAsia="Arial" w:hAnsi="Arial"/>
                <w:sz w:val="18"/>
                <w:szCs w:val="18"/>
                <w:color w:val="auto"/>
              </w:rPr>
              <w:t>157,260</w:t>
            </w:r>
          </w:p>
        </w:tc>
        <w:tc>
          <w:tcPr>
            <w:tcW w:w="3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bottom w:val="single" w:sz="8" w:color="auto"/>
            </w:tcBorders>
            <w:shd w:val="clear" w:color="auto" w:fill="EEEEEE"/>
          </w:tcPr>
          <w:p>
            <w:pPr>
              <w:spacing w:after="0"/>
              <w:rPr>
                <w:sz w:val="18"/>
                <w:szCs w:val="18"/>
                <w:color w:val="auto"/>
              </w:rPr>
            </w:pPr>
          </w:p>
        </w:tc>
        <w:tc>
          <w:tcPr>
            <w:tcW w:w="340" w:type="dxa"/>
            <w:vAlign w:val="bottom"/>
            <w:tcBorders>
              <w:top w:val="single" w:sz="8" w:color="auto"/>
              <w:bottom w:val="single" w:sz="8" w:color="auto"/>
            </w:tcBorders>
            <w:shd w:val="clear" w:color="auto" w:fill="EEEEEE"/>
          </w:tcPr>
          <w:p>
            <w:pPr>
              <w:spacing w:after="0"/>
              <w:rPr>
                <w:sz w:val="18"/>
                <w:szCs w:val="18"/>
                <w:color w:val="auto"/>
              </w:rPr>
            </w:pPr>
          </w:p>
        </w:tc>
        <w:tc>
          <w:tcPr>
            <w:tcW w:w="9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83,862</w:t>
            </w:r>
          </w:p>
        </w:tc>
        <w:tc>
          <w:tcPr>
            <w:tcW w:w="100" w:type="dxa"/>
            <w:vAlign w:val="bottom"/>
            <w:tcBorders>
              <w:top w:val="single" w:sz="8" w:color="EEEEEE"/>
            </w:tcBorders>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Operating expenses</w:t>
            </w:r>
          </w:p>
        </w:tc>
        <w:tc>
          <w:tcPr>
            <w:tcW w:w="12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74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1700" w:type="dxa"/>
            <w:vAlign w:val="bottom"/>
            <w:gridSpan w:val="3"/>
          </w:tcPr>
          <w:p>
            <w:pPr>
              <w:jc w:val="right"/>
              <w:ind w:right="201"/>
              <w:spacing w:after="0"/>
              <w:rPr>
                <w:sz w:val="20"/>
                <w:szCs w:val="20"/>
                <w:color w:val="auto"/>
              </w:rPr>
            </w:pPr>
            <w:r>
              <w:rPr>
                <w:rFonts w:ascii="Arial" w:cs="Arial" w:eastAsia="Arial" w:hAnsi="Arial"/>
                <w:sz w:val="18"/>
                <w:szCs w:val="18"/>
                <w:color w:val="auto"/>
              </w:rPr>
              <w:t>(319,762)</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60" w:type="dxa"/>
            <w:vAlign w:val="bottom"/>
            <w:gridSpan w:val="2"/>
          </w:tcPr>
          <w:p>
            <w:pPr>
              <w:jc w:val="right"/>
              <w:ind w:right="181"/>
              <w:spacing w:after="0"/>
              <w:rPr>
                <w:sz w:val="20"/>
                <w:szCs w:val="20"/>
                <w:color w:val="auto"/>
              </w:rPr>
            </w:pPr>
            <w:r>
              <w:rPr>
                <w:rFonts w:ascii="Arial" w:cs="Arial" w:eastAsia="Arial" w:hAnsi="Arial"/>
                <w:sz w:val="18"/>
                <w:szCs w:val="18"/>
                <w:color w:val="auto"/>
              </w:rPr>
              <w:t>(852,795)</w:t>
            </w:r>
          </w:p>
        </w:tc>
        <w:tc>
          <w:tcPr>
            <w:tcW w:w="1660" w:type="dxa"/>
            <w:vAlign w:val="bottom"/>
            <w:gridSpan w:val="3"/>
          </w:tcPr>
          <w:p>
            <w:pPr>
              <w:jc w:val="right"/>
              <w:ind w:right="181"/>
              <w:spacing w:after="0"/>
              <w:rPr>
                <w:sz w:val="20"/>
                <w:szCs w:val="20"/>
                <w:color w:val="auto"/>
              </w:rPr>
            </w:pPr>
            <w:r>
              <w:rPr>
                <w:rFonts w:ascii="Arial" w:cs="Arial" w:eastAsia="Arial" w:hAnsi="Arial"/>
                <w:sz w:val="18"/>
                <w:szCs w:val="18"/>
                <w:color w:val="auto"/>
              </w:rPr>
              <w:t>(1,747,766)</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3"/>
          </w:tcPr>
          <w:p>
            <w:pPr>
              <w:jc w:val="right"/>
              <w:ind w:right="40"/>
              <w:spacing w:after="0"/>
              <w:rPr>
                <w:sz w:val="20"/>
                <w:szCs w:val="20"/>
                <w:color w:val="auto"/>
              </w:rPr>
            </w:pPr>
            <w:r>
              <w:rPr>
                <w:rFonts w:ascii="Arial" w:cs="Arial" w:eastAsia="Arial" w:hAnsi="Arial"/>
                <w:sz w:val="18"/>
                <w:szCs w:val="18"/>
                <w:color w:val="auto"/>
              </w:rPr>
              <w:t>(2,092,696)</w:t>
            </w:r>
          </w:p>
        </w:tc>
        <w:tc>
          <w:tcPr>
            <w:tcW w:w="0" w:type="dxa"/>
            <w:vAlign w:val="bottom"/>
          </w:tcPr>
          <w:p>
            <w:pPr>
              <w:spacing w:after="0"/>
              <w:rPr>
                <w:sz w:val="1"/>
                <w:szCs w:val="1"/>
                <w:color w:val="auto"/>
              </w:rPr>
            </w:pPr>
          </w:p>
        </w:tc>
      </w:tr>
      <w:tr>
        <w:trPr>
          <w:trHeight w:val="210"/>
        </w:trPr>
        <w:tc>
          <w:tcPr>
            <w:tcW w:w="474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operating expenses</w:t>
            </w:r>
          </w:p>
        </w:tc>
        <w:tc>
          <w:tcPr>
            <w:tcW w:w="120" w:type="dxa"/>
            <w:vAlign w:val="bottom"/>
            <w:tcBorders>
              <w:top w:val="single" w:sz="8" w:color="EEEEEE"/>
            </w:tcBorders>
            <w:shd w:val="clear" w:color="auto" w:fill="EEEEEE"/>
          </w:tcPr>
          <w:p>
            <w:pPr>
              <w:spacing w:after="0"/>
              <w:rPr>
                <w:sz w:val="18"/>
                <w:szCs w:val="18"/>
                <w:color w:val="auto"/>
              </w:rPr>
            </w:pPr>
          </w:p>
        </w:tc>
        <w:tc>
          <w:tcPr>
            <w:tcW w:w="12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(319,762</w:t>
            </w:r>
          </w:p>
        </w:tc>
        <w:tc>
          <w:tcPr>
            <w:tcW w:w="340" w:type="dxa"/>
            <w:vAlign w:val="bottom"/>
            <w:tcBorders>
              <w:top w:val="single" w:sz="8" w:color="EEEEEE"/>
            </w:tcBorders>
            <w:shd w:val="clear" w:color="auto" w:fill="EEEEEE"/>
          </w:tcPr>
          <w:p>
            <w:pPr>
              <w:jc w:val="right"/>
              <w:ind w:right="201"/>
              <w:spacing w:after="0"/>
              <w:rPr>
                <w:sz w:val="20"/>
                <w:szCs w:val="20"/>
                <w:color w:val="auto"/>
              </w:rPr>
            </w:pPr>
            <w:r>
              <w:rPr>
                <w:rFonts w:ascii="Arial" w:cs="Arial" w:eastAsia="Arial" w:hAnsi="Arial"/>
                <w:sz w:val="16"/>
                <w:szCs w:val="16"/>
                <w:color w:val="auto"/>
                <w:w w:val="74"/>
              </w:rPr>
              <w:t>)</w:t>
            </w:r>
          </w:p>
        </w:tc>
        <w:tc>
          <w:tcPr>
            <w:tcW w:w="120" w:type="dxa"/>
            <w:vAlign w:val="bottom"/>
            <w:tcBorders>
              <w:top w:val="single" w:sz="8" w:color="EEEEEE"/>
            </w:tcBorders>
            <w:shd w:val="clear" w:color="auto" w:fill="EEEEEE"/>
          </w:tcPr>
          <w:p>
            <w:pPr>
              <w:spacing w:after="0"/>
              <w:rPr>
                <w:sz w:val="18"/>
                <w:szCs w:val="18"/>
                <w:color w:val="auto"/>
              </w:rPr>
            </w:pPr>
          </w:p>
        </w:tc>
        <w:tc>
          <w:tcPr>
            <w:tcW w:w="320" w:type="dxa"/>
            <w:vAlign w:val="bottom"/>
            <w:tcBorders>
              <w:top w:val="single" w:sz="8" w:color="auto"/>
              <w:bottom w:val="single" w:sz="8" w:color="auto"/>
            </w:tcBorders>
            <w:shd w:val="clear" w:color="auto" w:fill="EEEEEE"/>
          </w:tcPr>
          <w:p>
            <w:pPr>
              <w:spacing w:after="0"/>
              <w:rPr>
                <w:sz w:val="18"/>
                <w:szCs w:val="18"/>
                <w:color w:val="auto"/>
              </w:rPr>
            </w:pPr>
          </w:p>
        </w:tc>
        <w:tc>
          <w:tcPr>
            <w:tcW w:w="9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(852,795</w:t>
            </w:r>
          </w:p>
        </w:tc>
        <w:tc>
          <w:tcPr>
            <w:tcW w:w="320" w:type="dxa"/>
            <w:vAlign w:val="bottom"/>
            <w:tcBorders>
              <w:top w:val="single" w:sz="8" w:color="EEEEEE"/>
            </w:tcBorders>
            <w:shd w:val="clear" w:color="auto" w:fill="EEEEEE"/>
          </w:tcPr>
          <w:p>
            <w:pPr>
              <w:jc w:val="right"/>
              <w:ind w:right="18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EEEEEE"/>
            </w:tcBorders>
            <w:shd w:val="clear" w:color="auto" w:fill="EEEEEE"/>
          </w:tcPr>
          <w:p>
            <w:pPr>
              <w:spacing w:after="0"/>
              <w:rPr>
                <w:sz w:val="18"/>
                <w:szCs w:val="18"/>
                <w:color w:val="auto"/>
              </w:rPr>
            </w:pPr>
          </w:p>
        </w:tc>
        <w:tc>
          <w:tcPr>
            <w:tcW w:w="12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(1,747,766</w:t>
            </w:r>
          </w:p>
        </w:tc>
        <w:tc>
          <w:tcPr>
            <w:tcW w:w="320" w:type="dxa"/>
            <w:vAlign w:val="bottom"/>
            <w:tcBorders>
              <w:top w:val="single" w:sz="8" w:color="EEEEEE"/>
            </w:tcBorders>
            <w:shd w:val="clear" w:color="auto" w:fill="EEEEEE"/>
          </w:tcPr>
          <w:p>
            <w:pPr>
              <w:jc w:val="right"/>
              <w:ind w:right="181"/>
              <w:spacing w:after="0"/>
              <w:rPr>
                <w:sz w:val="20"/>
                <w:szCs w:val="20"/>
                <w:color w:val="auto"/>
              </w:rPr>
            </w:pPr>
            <w:r>
              <w:rPr>
                <w:rFonts w:ascii="Arial" w:cs="Arial" w:eastAsia="Arial" w:hAnsi="Arial"/>
                <w:sz w:val="16"/>
                <w:szCs w:val="16"/>
                <w:color w:val="auto"/>
                <w:w w:val="74"/>
              </w:rPr>
              <w:t>)</w:t>
            </w:r>
          </w:p>
        </w:tc>
        <w:tc>
          <w:tcPr>
            <w:tcW w:w="100" w:type="dxa"/>
            <w:vAlign w:val="bottom"/>
            <w:tcBorders>
              <w:top w:val="single" w:sz="8" w:color="EEEEEE"/>
            </w:tcBorders>
            <w:shd w:val="clear" w:color="auto" w:fill="EEEEEE"/>
          </w:tcPr>
          <w:p>
            <w:pPr>
              <w:spacing w:after="0"/>
              <w:rPr>
                <w:sz w:val="18"/>
                <w:szCs w:val="18"/>
                <w:color w:val="auto"/>
              </w:rPr>
            </w:pPr>
          </w:p>
        </w:tc>
        <w:tc>
          <w:tcPr>
            <w:tcW w:w="340" w:type="dxa"/>
            <w:vAlign w:val="bottom"/>
            <w:tcBorders>
              <w:top w:val="single" w:sz="8" w:color="auto"/>
              <w:bottom w:val="single" w:sz="8" w:color="auto"/>
            </w:tcBorders>
            <w:shd w:val="clear" w:color="auto" w:fill="EEEEEE"/>
          </w:tcPr>
          <w:p>
            <w:pPr>
              <w:spacing w:after="0"/>
              <w:rPr>
                <w:sz w:val="18"/>
                <w:szCs w:val="18"/>
                <w:color w:val="auto"/>
              </w:rPr>
            </w:pPr>
          </w:p>
        </w:tc>
        <w:tc>
          <w:tcPr>
            <w:tcW w:w="9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(2,092,696</w:t>
            </w:r>
          </w:p>
        </w:tc>
        <w:tc>
          <w:tcPr>
            <w:tcW w:w="100" w:type="dxa"/>
            <w:vAlign w:val="bottom"/>
            <w:tcBorders>
              <w:top w:val="single" w:sz="8" w:color="EEEEEE"/>
            </w:tcBorders>
            <w:gridSpan w:val="2"/>
            <w:shd w:val="clear" w:color="auto" w:fill="EEEEEE"/>
          </w:tcPr>
          <w:p>
            <w:pPr>
              <w:jc w:val="right"/>
              <w:ind w:right="40"/>
              <w:spacing w:after="0"/>
              <w:rPr>
                <w:sz w:val="20"/>
                <w:szCs w:val="20"/>
                <w:color w:val="auto"/>
              </w:rPr>
            </w:pPr>
            <w:r>
              <w:rPr>
                <w:rFonts w:ascii="Arial" w:cs="Arial" w:eastAsia="Arial" w:hAnsi="Arial"/>
                <w:sz w:val="16"/>
                <w:szCs w:val="16"/>
                <w:color w:val="auto"/>
                <w:w w:val="74"/>
              </w:rPr>
              <w:t>)</w:t>
            </w:r>
          </w:p>
        </w:tc>
        <w:tc>
          <w:tcPr>
            <w:tcW w:w="0" w:type="dxa"/>
            <w:vAlign w:val="bottom"/>
          </w:tcPr>
          <w:p>
            <w:pPr>
              <w:spacing w:after="0"/>
              <w:rPr>
                <w:sz w:val="1"/>
                <w:szCs w:val="1"/>
                <w:color w:val="auto"/>
              </w:rPr>
            </w:pPr>
          </w:p>
        </w:tc>
      </w:tr>
      <w:tr>
        <w:trPr>
          <w:trHeight w:val="209"/>
        </w:trPr>
        <w:tc>
          <w:tcPr>
            <w:tcW w:w="4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Loss from operations</w:t>
            </w:r>
          </w:p>
        </w:tc>
        <w:tc>
          <w:tcPr>
            <w:tcW w:w="1700" w:type="dxa"/>
            <w:vAlign w:val="bottom"/>
            <w:gridSpan w:val="3"/>
            <w:shd w:val="clear" w:color="auto" w:fill="EEEEEE"/>
          </w:tcPr>
          <w:p>
            <w:pPr>
              <w:jc w:val="right"/>
              <w:ind w:right="201"/>
              <w:spacing w:after="0"/>
              <w:rPr>
                <w:sz w:val="20"/>
                <w:szCs w:val="20"/>
                <w:color w:val="auto"/>
              </w:rPr>
            </w:pPr>
            <w:r>
              <w:rPr>
                <w:rFonts w:ascii="Arial" w:cs="Arial" w:eastAsia="Arial" w:hAnsi="Arial"/>
                <w:sz w:val="18"/>
                <w:szCs w:val="18"/>
                <w:color w:val="auto"/>
              </w:rPr>
              <w:t>(268,393)</w:t>
            </w:r>
          </w:p>
        </w:tc>
        <w:tc>
          <w:tcPr>
            <w:tcW w:w="1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2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(808,189)</w:t>
            </w:r>
          </w:p>
        </w:tc>
        <w:tc>
          <w:tcPr>
            <w:tcW w:w="1660" w:type="dxa"/>
            <w:vAlign w:val="bottom"/>
            <w:gridSpan w:val="3"/>
            <w:shd w:val="clear" w:color="auto" w:fill="EEEEEE"/>
          </w:tcPr>
          <w:p>
            <w:pPr>
              <w:jc w:val="right"/>
              <w:ind w:right="181"/>
              <w:spacing w:after="0"/>
              <w:rPr>
                <w:sz w:val="20"/>
                <w:szCs w:val="20"/>
                <w:color w:val="auto"/>
              </w:rPr>
            </w:pPr>
            <w:r>
              <w:rPr>
                <w:rFonts w:ascii="Arial" w:cs="Arial" w:eastAsia="Arial" w:hAnsi="Arial"/>
                <w:sz w:val="18"/>
                <w:szCs w:val="18"/>
                <w:color w:val="auto"/>
              </w:rPr>
              <w:t>(1,590,506)</w:t>
            </w:r>
          </w:p>
        </w:tc>
        <w:tc>
          <w:tcPr>
            <w:tcW w:w="1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0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(2,008,832)</w:t>
            </w:r>
          </w:p>
        </w:tc>
        <w:tc>
          <w:tcPr>
            <w:tcW w:w="0" w:type="dxa"/>
            <w:vAlign w:val="bottom"/>
          </w:tcPr>
          <w:p>
            <w:pPr>
              <w:spacing w:after="0"/>
              <w:rPr>
                <w:sz w:val="1"/>
                <w:szCs w:val="1"/>
                <w:color w:val="auto"/>
              </w:rPr>
            </w:pPr>
          </w:p>
        </w:tc>
      </w:tr>
      <w:tr>
        <w:trPr>
          <w:trHeight w:val="216"/>
        </w:trPr>
        <w:tc>
          <w:tcPr>
            <w:tcW w:w="4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Other income (expense)</w:t>
            </w:r>
          </w:p>
        </w:tc>
        <w:tc>
          <w:tcPr>
            <w:tcW w:w="1700" w:type="dxa"/>
            <w:vAlign w:val="bottom"/>
            <w:gridSpan w:val="3"/>
            <w:shd w:val="clear" w:color="auto" w:fill="EEEEEE"/>
          </w:tcPr>
          <w:p>
            <w:pPr>
              <w:jc w:val="right"/>
              <w:ind w:right="201"/>
              <w:spacing w:after="0"/>
              <w:rPr>
                <w:sz w:val="20"/>
                <w:szCs w:val="20"/>
                <w:color w:val="auto"/>
              </w:rPr>
            </w:pPr>
            <w:r>
              <w:rPr>
                <w:rFonts w:ascii="Arial" w:cs="Arial" w:eastAsia="Arial" w:hAnsi="Arial"/>
                <w:sz w:val="18"/>
                <w:szCs w:val="18"/>
                <w:color w:val="auto"/>
              </w:rPr>
              <w:t>(4,385)</w:t>
            </w:r>
          </w:p>
        </w:tc>
        <w:tc>
          <w:tcPr>
            <w:tcW w:w="120" w:type="dxa"/>
            <w:vAlign w:val="bottom"/>
            <w:shd w:val="clear" w:color="auto" w:fill="EEEEEE"/>
          </w:tcPr>
          <w:p>
            <w:pPr>
              <w:spacing w:after="0"/>
              <w:rPr>
                <w:sz w:val="19"/>
                <w:szCs w:val="19"/>
                <w:color w:val="auto"/>
              </w:rPr>
            </w:pPr>
          </w:p>
        </w:tc>
        <w:tc>
          <w:tcPr>
            <w:tcW w:w="320" w:type="dxa"/>
            <w:vAlign w:val="bottom"/>
            <w:shd w:val="clear" w:color="auto" w:fill="EEEEEE"/>
          </w:tcPr>
          <w:p>
            <w:pPr>
              <w:spacing w:after="0"/>
              <w:rPr>
                <w:sz w:val="19"/>
                <w:szCs w:val="19"/>
                <w:color w:val="auto"/>
              </w:rPr>
            </w:pPr>
          </w:p>
        </w:tc>
        <w:tc>
          <w:tcPr>
            <w:tcW w:w="12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7,934</w:t>
            </w:r>
          </w:p>
        </w:tc>
        <w:tc>
          <w:tcPr>
            <w:tcW w:w="1660" w:type="dxa"/>
            <w:vAlign w:val="bottom"/>
            <w:gridSpan w:val="3"/>
            <w:shd w:val="clear" w:color="auto" w:fill="EEEEEE"/>
          </w:tcPr>
          <w:p>
            <w:pPr>
              <w:jc w:val="right"/>
              <w:ind w:right="181"/>
              <w:spacing w:after="0"/>
              <w:rPr>
                <w:sz w:val="20"/>
                <w:szCs w:val="20"/>
                <w:color w:val="auto"/>
              </w:rPr>
            </w:pPr>
            <w:r>
              <w:rPr>
                <w:rFonts w:ascii="Arial" w:cs="Arial" w:eastAsia="Arial" w:hAnsi="Arial"/>
                <w:sz w:val="18"/>
                <w:szCs w:val="18"/>
                <w:color w:val="auto"/>
              </w:rPr>
              <w:t>(16,773)</w:t>
            </w:r>
          </w:p>
        </w:tc>
        <w:tc>
          <w:tcPr>
            <w:tcW w:w="100" w:type="dxa"/>
            <w:vAlign w:val="bottom"/>
            <w:shd w:val="clear" w:color="auto" w:fill="EEEEEE"/>
          </w:tcPr>
          <w:p>
            <w:pPr>
              <w:spacing w:after="0"/>
              <w:rPr>
                <w:sz w:val="19"/>
                <w:szCs w:val="19"/>
                <w:color w:val="auto"/>
              </w:rPr>
            </w:pPr>
          </w:p>
        </w:tc>
        <w:tc>
          <w:tcPr>
            <w:tcW w:w="340" w:type="dxa"/>
            <w:vAlign w:val="bottom"/>
            <w:shd w:val="clear" w:color="auto" w:fill="EEEEEE"/>
          </w:tcPr>
          <w:p>
            <w:pPr>
              <w:spacing w:after="0"/>
              <w:rPr>
                <w:sz w:val="19"/>
                <w:szCs w:val="19"/>
                <w:color w:val="auto"/>
              </w:rPr>
            </w:pPr>
          </w:p>
        </w:tc>
        <w:tc>
          <w:tcPr>
            <w:tcW w:w="9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8,052</w:t>
            </w:r>
          </w:p>
        </w:tc>
        <w:tc>
          <w:tcPr>
            <w:tcW w:w="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4740" w:type="dxa"/>
            <w:vAlign w:val="bottom"/>
          </w:tcPr>
          <w:p>
            <w:pPr>
              <w:spacing w:after="0"/>
              <w:rPr>
                <w:sz w:val="20"/>
                <w:szCs w:val="20"/>
                <w:color w:val="auto"/>
              </w:rPr>
            </w:pPr>
            <w:r>
              <w:rPr>
                <w:rFonts w:ascii="Arial" w:cs="Arial" w:eastAsia="Arial" w:hAnsi="Arial"/>
                <w:sz w:val="18"/>
                <w:szCs w:val="18"/>
                <w:b w:val="1"/>
                <w:bCs w:val="1"/>
                <w:color w:val="auto"/>
              </w:rPr>
              <w:t>Loss before income taxes</w:t>
            </w:r>
          </w:p>
        </w:tc>
        <w:tc>
          <w:tcPr>
            <w:tcW w:w="136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(272,778)</w:t>
            </w:r>
          </w:p>
        </w:tc>
        <w:tc>
          <w:tcPr>
            <w:tcW w:w="3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(800,255)</w:t>
            </w:r>
          </w:p>
        </w:tc>
        <w:tc>
          <w:tcPr>
            <w:tcW w:w="320" w:type="dxa"/>
            <w:vAlign w:val="bottom"/>
          </w:tcPr>
          <w:p>
            <w:pPr>
              <w:spacing w:after="0"/>
              <w:rPr>
                <w:sz w:val="18"/>
                <w:szCs w:val="18"/>
                <w:color w:val="auto"/>
              </w:rPr>
            </w:pPr>
          </w:p>
        </w:tc>
        <w:tc>
          <w:tcPr>
            <w:tcW w:w="134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(1,607,279)</w:t>
            </w:r>
          </w:p>
        </w:tc>
        <w:tc>
          <w:tcPr>
            <w:tcW w:w="3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(2,000,780)</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740" w:type="dxa"/>
            <w:vAlign w:val="bottom"/>
          </w:tcPr>
          <w:p>
            <w:pPr>
              <w:spacing w:after="0"/>
              <w:rPr>
                <w:sz w:val="20"/>
                <w:szCs w:val="20"/>
                <w:color w:val="auto"/>
              </w:rPr>
            </w:pPr>
            <w:r>
              <w:rPr>
                <w:rFonts w:ascii="Arial" w:cs="Arial" w:eastAsia="Arial" w:hAnsi="Arial"/>
                <w:sz w:val="18"/>
                <w:szCs w:val="18"/>
                <w:color w:val="auto"/>
              </w:rPr>
              <w:t>Income tax expense</w:t>
            </w:r>
          </w:p>
        </w:tc>
        <w:tc>
          <w:tcPr>
            <w:tcW w:w="120" w:type="dxa"/>
            <w:vAlign w:val="bottom"/>
          </w:tcPr>
          <w:p>
            <w:pPr>
              <w:spacing w:after="0"/>
              <w:rPr>
                <w:sz w:val="19"/>
                <w:szCs w:val="19"/>
                <w:color w:val="auto"/>
              </w:rPr>
            </w:pPr>
          </w:p>
        </w:tc>
        <w:tc>
          <w:tcPr>
            <w:tcW w:w="2020" w:type="dxa"/>
            <w:vAlign w:val="bottom"/>
            <w:gridSpan w:val="4"/>
          </w:tcPr>
          <w:p>
            <w:pPr>
              <w:jc w:val="right"/>
              <w:ind w:right="78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2000" w:type="dxa"/>
            <w:vAlign w:val="bottom"/>
            <w:gridSpan w:val="4"/>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00"/>
              <w:spacing w:after="0"/>
              <w:rPr>
                <w:sz w:val="20"/>
                <w:szCs w:val="20"/>
                <w:color w:val="auto"/>
              </w:rPr>
            </w:pPr>
            <w:r>
              <w:rPr>
                <w:rFonts w:ascii="Arial" w:cs="Arial" w:eastAsia="Arial" w:hAnsi="Arial"/>
                <w:sz w:val="18"/>
                <w:szCs w:val="18"/>
                <w:color w:val="auto"/>
              </w:rPr>
              <w:t>422</w:t>
            </w:r>
          </w:p>
        </w:tc>
        <w:tc>
          <w:tcPr>
            <w:tcW w:w="0" w:type="dxa"/>
            <w:vAlign w:val="bottom"/>
          </w:tcPr>
          <w:p>
            <w:pPr>
              <w:spacing w:after="0"/>
              <w:rPr>
                <w:sz w:val="1"/>
                <w:szCs w:val="1"/>
                <w:color w:val="auto"/>
              </w:rPr>
            </w:pPr>
          </w:p>
        </w:tc>
      </w:tr>
      <w:tr>
        <w:trPr>
          <w:trHeight w:val="209"/>
        </w:trPr>
        <w:tc>
          <w:tcPr>
            <w:tcW w:w="474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Net loss from continuing operations</w:t>
            </w:r>
          </w:p>
        </w:tc>
        <w:tc>
          <w:tcPr>
            <w:tcW w:w="1360" w:type="dxa"/>
            <w:vAlign w:val="bottom"/>
            <w:tcBorders>
              <w:top w:val="single" w:sz="8" w:color="auto"/>
            </w:tcBorders>
            <w:gridSpan w:val="2"/>
            <w:shd w:val="clear" w:color="auto" w:fill="EEEEEE"/>
          </w:tcPr>
          <w:p>
            <w:pPr>
              <w:jc w:val="right"/>
              <w:spacing w:after="0"/>
              <w:rPr>
                <w:sz w:val="20"/>
                <w:szCs w:val="20"/>
                <w:color w:val="auto"/>
              </w:rPr>
            </w:pPr>
            <w:r>
              <w:rPr>
                <w:rFonts w:ascii="Arial" w:cs="Arial" w:eastAsia="Arial" w:hAnsi="Arial"/>
                <w:sz w:val="18"/>
                <w:szCs w:val="18"/>
                <w:color w:val="auto"/>
              </w:rPr>
              <w:t>(272,778)</w:t>
            </w:r>
          </w:p>
        </w:tc>
        <w:tc>
          <w:tcPr>
            <w:tcW w:w="34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320" w:type="dxa"/>
            <w:vAlign w:val="bottom"/>
            <w:tcBorders>
              <w:top w:val="single" w:sz="8" w:color="auto"/>
            </w:tcBorders>
            <w:shd w:val="clear" w:color="auto" w:fill="EEEEEE"/>
          </w:tcPr>
          <w:p>
            <w:pPr>
              <w:spacing w:after="0"/>
              <w:rPr>
                <w:sz w:val="18"/>
                <w:szCs w:val="18"/>
                <w:color w:val="auto"/>
              </w:rPr>
            </w:pPr>
          </w:p>
        </w:tc>
        <w:tc>
          <w:tcPr>
            <w:tcW w:w="94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(800,255)</w:t>
            </w:r>
          </w:p>
        </w:tc>
        <w:tc>
          <w:tcPr>
            <w:tcW w:w="320" w:type="dxa"/>
            <w:vAlign w:val="bottom"/>
            <w:tcBorders>
              <w:top w:val="single" w:sz="8" w:color="EEEEEE"/>
            </w:tcBorders>
            <w:shd w:val="clear" w:color="auto" w:fill="EEEEEE"/>
          </w:tcPr>
          <w:p>
            <w:pPr>
              <w:spacing w:after="0"/>
              <w:rPr>
                <w:sz w:val="18"/>
                <w:szCs w:val="18"/>
                <w:color w:val="auto"/>
              </w:rPr>
            </w:pPr>
          </w:p>
        </w:tc>
        <w:tc>
          <w:tcPr>
            <w:tcW w:w="1340" w:type="dxa"/>
            <w:vAlign w:val="bottom"/>
            <w:tcBorders>
              <w:top w:val="single" w:sz="8" w:color="auto"/>
            </w:tcBorders>
            <w:gridSpan w:val="2"/>
            <w:shd w:val="clear" w:color="auto" w:fill="EEEEEE"/>
          </w:tcPr>
          <w:p>
            <w:pPr>
              <w:jc w:val="right"/>
              <w:spacing w:after="0"/>
              <w:rPr>
                <w:sz w:val="20"/>
                <w:szCs w:val="20"/>
                <w:color w:val="auto"/>
              </w:rPr>
            </w:pPr>
            <w:r>
              <w:rPr>
                <w:rFonts w:ascii="Arial" w:cs="Arial" w:eastAsia="Arial" w:hAnsi="Arial"/>
                <w:sz w:val="18"/>
                <w:szCs w:val="18"/>
                <w:color w:val="auto"/>
              </w:rPr>
              <w:t>(1,607,279)</w:t>
            </w:r>
          </w:p>
        </w:tc>
        <w:tc>
          <w:tcPr>
            <w:tcW w:w="3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spacing w:after="0"/>
              <w:rPr>
                <w:sz w:val="18"/>
                <w:szCs w:val="18"/>
                <w:color w:val="auto"/>
              </w:rPr>
            </w:pPr>
          </w:p>
        </w:tc>
        <w:tc>
          <w:tcPr>
            <w:tcW w:w="340" w:type="dxa"/>
            <w:vAlign w:val="bottom"/>
            <w:tcBorders>
              <w:top w:val="single" w:sz="8" w:color="auto"/>
            </w:tcBorders>
            <w:shd w:val="clear" w:color="auto" w:fill="EEEEEE"/>
          </w:tcPr>
          <w:p>
            <w:pPr>
              <w:spacing w:after="0"/>
              <w:rPr>
                <w:sz w:val="18"/>
                <w:szCs w:val="18"/>
                <w:color w:val="auto"/>
              </w:rPr>
            </w:pPr>
          </w:p>
        </w:tc>
        <w:tc>
          <w:tcPr>
            <w:tcW w:w="9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w w:val="95"/>
              </w:rPr>
              <w:t>(2,000,358)</w:t>
            </w:r>
          </w:p>
        </w:tc>
        <w:tc>
          <w:tcPr>
            <w:tcW w:w="100" w:type="dxa"/>
            <w:vAlign w:val="bottom"/>
            <w:tcBorders>
              <w:top w:val="single" w:sz="8" w:color="EEEEEE"/>
            </w:tcBorders>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Net loss from discontinued operations</w:t>
            </w:r>
          </w:p>
        </w:tc>
        <w:tc>
          <w:tcPr>
            <w:tcW w:w="12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Loss on disposal</w:t>
            </w:r>
          </w:p>
        </w:tc>
        <w:tc>
          <w:tcPr>
            <w:tcW w:w="120" w:type="dxa"/>
            <w:vAlign w:val="bottom"/>
          </w:tcPr>
          <w:p>
            <w:pPr>
              <w:spacing w:after="0"/>
              <w:rPr>
                <w:sz w:val="18"/>
                <w:szCs w:val="18"/>
                <w:color w:val="auto"/>
              </w:rPr>
            </w:pPr>
          </w:p>
        </w:tc>
        <w:tc>
          <w:tcPr>
            <w:tcW w:w="2020" w:type="dxa"/>
            <w:vAlign w:val="bottom"/>
            <w:gridSpan w:val="4"/>
          </w:tcPr>
          <w:p>
            <w:pPr>
              <w:jc w:val="right"/>
              <w:ind w:right="78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2000" w:type="dxa"/>
            <w:vAlign w:val="bottom"/>
            <w:gridSpan w:val="4"/>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Income from discontinued operations</w:t>
            </w:r>
          </w:p>
        </w:tc>
        <w:tc>
          <w:tcPr>
            <w:tcW w:w="120" w:type="dxa"/>
            <w:vAlign w:val="bottom"/>
            <w:shd w:val="clear" w:color="auto" w:fill="EEEEEE"/>
          </w:tcPr>
          <w:p>
            <w:pPr>
              <w:spacing w:after="0"/>
              <w:rPr>
                <w:sz w:val="19"/>
                <w:szCs w:val="19"/>
                <w:color w:val="auto"/>
              </w:rPr>
            </w:pPr>
          </w:p>
        </w:tc>
        <w:tc>
          <w:tcPr>
            <w:tcW w:w="2020" w:type="dxa"/>
            <w:vAlign w:val="bottom"/>
            <w:gridSpan w:val="4"/>
            <w:shd w:val="clear" w:color="auto" w:fill="EEEEEE"/>
          </w:tcPr>
          <w:p>
            <w:pPr>
              <w:jc w:val="right"/>
              <w:ind w:right="78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(60,468)</w:t>
            </w:r>
          </w:p>
        </w:tc>
        <w:tc>
          <w:tcPr>
            <w:tcW w:w="100" w:type="dxa"/>
            <w:vAlign w:val="bottom"/>
            <w:shd w:val="clear" w:color="auto" w:fill="EEEEEE"/>
          </w:tcPr>
          <w:p>
            <w:pPr>
              <w:spacing w:after="0"/>
              <w:rPr>
                <w:sz w:val="19"/>
                <w:szCs w:val="19"/>
                <w:color w:val="auto"/>
              </w:rPr>
            </w:pPr>
          </w:p>
        </w:tc>
        <w:tc>
          <w:tcPr>
            <w:tcW w:w="2000" w:type="dxa"/>
            <w:vAlign w:val="bottom"/>
            <w:gridSpan w:val="4"/>
            <w:shd w:val="clear" w:color="auto" w:fill="EEEEEE"/>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(50,062)</w:t>
            </w:r>
          </w:p>
        </w:tc>
        <w:tc>
          <w:tcPr>
            <w:tcW w:w="0" w:type="dxa"/>
            <w:vAlign w:val="bottom"/>
          </w:tcPr>
          <w:p>
            <w:pPr>
              <w:spacing w:after="0"/>
              <w:rPr>
                <w:sz w:val="1"/>
                <w:szCs w:val="1"/>
                <w:color w:val="auto"/>
              </w:rPr>
            </w:pPr>
          </w:p>
        </w:tc>
      </w:tr>
      <w:tr>
        <w:trPr>
          <w:trHeight w:val="210"/>
        </w:trPr>
        <w:tc>
          <w:tcPr>
            <w:tcW w:w="4740" w:type="dxa"/>
            <w:vAlign w:val="bottom"/>
          </w:tcPr>
          <w:p>
            <w:pPr>
              <w:spacing w:after="0"/>
              <w:rPr>
                <w:sz w:val="20"/>
                <w:szCs w:val="20"/>
                <w:color w:val="auto"/>
              </w:rPr>
            </w:pPr>
            <w:r>
              <w:rPr>
                <w:rFonts w:ascii="Arial" w:cs="Arial" w:eastAsia="Arial" w:hAnsi="Arial"/>
                <w:sz w:val="18"/>
                <w:szCs w:val="18"/>
                <w:b w:val="1"/>
                <w:bCs w:val="1"/>
                <w:color w:val="auto"/>
              </w:rPr>
              <w:t>Net income from discontinued operations</w:t>
            </w:r>
          </w:p>
        </w:tc>
        <w:tc>
          <w:tcPr>
            <w:tcW w:w="12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(60,468)</w:t>
            </w:r>
          </w:p>
        </w:tc>
        <w:tc>
          <w:tcPr>
            <w:tcW w:w="3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2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(50,062)</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2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b w:val="1"/>
                <w:bCs w:val="1"/>
                <w:color w:val="auto"/>
              </w:rPr>
              <w:t>Net loss</w:t>
            </w:r>
          </w:p>
        </w:tc>
        <w:tc>
          <w:tcPr>
            <w:tcW w:w="1700" w:type="dxa"/>
            <w:vAlign w:val="bottom"/>
            <w:gridSpan w:val="3"/>
          </w:tcPr>
          <w:p>
            <w:pPr>
              <w:jc w:val="right"/>
              <w:ind w:right="201"/>
              <w:spacing w:after="0"/>
              <w:rPr>
                <w:sz w:val="20"/>
                <w:szCs w:val="20"/>
                <w:color w:val="auto"/>
              </w:rPr>
            </w:pPr>
            <w:r>
              <w:rPr>
                <w:rFonts w:ascii="Arial" w:cs="Arial" w:eastAsia="Arial" w:hAnsi="Arial"/>
                <w:sz w:val="18"/>
                <w:szCs w:val="18"/>
                <w:color w:val="auto"/>
              </w:rPr>
              <w:t>(272,778)</w:t>
            </w: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260" w:type="dxa"/>
            <w:vAlign w:val="bottom"/>
            <w:gridSpan w:val="2"/>
          </w:tcPr>
          <w:p>
            <w:pPr>
              <w:jc w:val="right"/>
              <w:ind w:right="181"/>
              <w:spacing w:after="0"/>
              <w:rPr>
                <w:sz w:val="20"/>
                <w:szCs w:val="20"/>
                <w:color w:val="auto"/>
              </w:rPr>
            </w:pPr>
            <w:r>
              <w:rPr>
                <w:rFonts w:ascii="Arial" w:cs="Arial" w:eastAsia="Arial" w:hAnsi="Arial"/>
                <w:sz w:val="18"/>
                <w:szCs w:val="18"/>
                <w:color w:val="auto"/>
              </w:rPr>
              <w:t>(860,723)</w:t>
            </w:r>
          </w:p>
        </w:tc>
        <w:tc>
          <w:tcPr>
            <w:tcW w:w="1660" w:type="dxa"/>
            <w:vAlign w:val="bottom"/>
            <w:gridSpan w:val="3"/>
          </w:tcPr>
          <w:p>
            <w:pPr>
              <w:jc w:val="right"/>
              <w:ind w:right="181"/>
              <w:spacing w:after="0"/>
              <w:rPr>
                <w:sz w:val="20"/>
                <w:szCs w:val="20"/>
                <w:color w:val="auto"/>
              </w:rPr>
            </w:pPr>
            <w:r>
              <w:rPr>
                <w:rFonts w:ascii="Arial" w:cs="Arial" w:eastAsia="Arial" w:hAnsi="Arial"/>
                <w:sz w:val="18"/>
                <w:szCs w:val="18"/>
                <w:color w:val="auto"/>
              </w:rPr>
              <w:t>(1,607,279)</w:t>
            </w: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00" w:type="dxa"/>
            <w:vAlign w:val="bottom"/>
            <w:gridSpan w:val="3"/>
          </w:tcPr>
          <w:p>
            <w:pPr>
              <w:jc w:val="right"/>
              <w:ind w:right="40"/>
              <w:spacing w:after="0"/>
              <w:rPr>
                <w:sz w:val="20"/>
                <w:szCs w:val="20"/>
                <w:color w:val="auto"/>
              </w:rPr>
            </w:pPr>
            <w:r>
              <w:rPr>
                <w:rFonts w:ascii="Arial" w:cs="Arial" w:eastAsia="Arial" w:hAnsi="Arial"/>
                <w:sz w:val="18"/>
                <w:szCs w:val="18"/>
                <w:color w:val="auto"/>
              </w:rPr>
              <w:t>(2,050,420)</w:t>
            </w:r>
          </w:p>
        </w:tc>
        <w:tc>
          <w:tcPr>
            <w:tcW w:w="0" w:type="dxa"/>
            <w:vAlign w:val="bottom"/>
          </w:tcPr>
          <w:p>
            <w:pPr>
              <w:spacing w:after="0"/>
              <w:rPr>
                <w:sz w:val="1"/>
                <w:szCs w:val="1"/>
                <w:color w:val="auto"/>
              </w:rPr>
            </w:pPr>
          </w:p>
        </w:tc>
      </w:tr>
      <w:tr>
        <w:trPr>
          <w:trHeight w:val="230"/>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Less: Net loss attributable to non-controlling interests</w:t>
            </w:r>
          </w:p>
        </w:tc>
        <w:tc>
          <w:tcPr>
            <w:tcW w:w="1700" w:type="dxa"/>
            <w:vAlign w:val="bottom"/>
            <w:gridSpan w:val="3"/>
            <w:shd w:val="clear" w:color="auto" w:fill="EEEEEE"/>
          </w:tcPr>
          <w:p>
            <w:pPr>
              <w:jc w:val="right"/>
              <w:ind w:right="201"/>
              <w:spacing w:after="0"/>
              <w:rPr>
                <w:sz w:val="20"/>
                <w:szCs w:val="20"/>
                <w:color w:val="auto"/>
              </w:rPr>
            </w:pPr>
            <w:r>
              <w:rPr>
                <w:rFonts w:ascii="Arial" w:cs="Arial" w:eastAsia="Arial" w:hAnsi="Arial"/>
                <w:sz w:val="18"/>
                <w:szCs w:val="18"/>
                <w:color w:val="auto"/>
              </w:rPr>
              <w:t>(8,719)</w:t>
            </w:r>
          </w:p>
        </w:tc>
        <w:tc>
          <w:tcPr>
            <w:tcW w:w="120" w:type="dxa"/>
            <w:vAlign w:val="bottom"/>
            <w:shd w:val="clear" w:color="auto" w:fill="EEEEEE"/>
          </w:tcPr>
          <w:p>
            <w:pPr>
              <w:spacing w:after="0"/>
              <w:rPr>
                <w:sz w:val="19"/>
                <w:szCs w:val="19"/>
                <w:color w:val="auto"/>
              </w:rPr>
            </w:pPr>
          </w:p>
        </w:tc>
        <w:tc>
          <w:tcPr>
            <w:tcW w:w="320" w:type="dxa"/>
            <w:vAlign w:val="bottom"/>
            <w:shd w:val="clear" w:color="auto" w:fill="EEEEEE"/>
          </w:tcPr>
          <w:p>
            <w:pPr>
              <w:spacing w:after="0"/>
              <w:rPr>
                <w:sz w:val="19"/>
                <w:szCs w:val="19"/>
                <w:color w:val="auto"/>
              </w:rPr>
            </w:pPr>
          </w:p>
        </w:tc>
        <w:tc>
          <w:tcPr>
            <w:tcW w:w="12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4,767</w:t>
            </w:r>
          </w:p>
        </w:tc>
        <w:tc>
          <w:tcPr>
            <w:tcW w:w="1660" w:type="dxa"/>
            <w:vAlign w:val="bottom"/>
            <w:gridSpan w:val="3"/>
            <w:shd w:val="clear" w:color="auto" w:fill="EEEEEE"/>
          </w:tcPr>
          <w:p>
            <w:pPr>
              <w:jc w:val="right"/>
              <w:ind w:right="181"/>
              <w:spacing w:after="0"/>
              <w:rPr>
                <w:sz w:val="20"/>
                <w:szCs w:val="20"/>
                <w:color w:val="auto"/>
              </w:rPr>
            </w:pPr>
            <w:r>
              <w:rPr>
                <w:rFonts w:ascii="Arial" w:cs="Arial" w:eastAsia="Arial" w:hAnsi="Arial"/>
                <w:sz w:val="18"/>
                <w:szCs w:val="18"/>
                <w:color w:val="auto"/>
              </w:rPr>
              <w:t>(44,198)</w:t>
            </w:r>
          </w:p>
        </w:tc>
        <w:tc>
          <w:tcPr>
            <w:tcW w:w="100" w:type="dxa"/>
            <w:vAlign w:val="bottom"/>
            <w:shd w:val="clear" w:color="auto" w:fill="EEEEEE"/>
          </w:tcPr>
          <w:p>
            <w:pPr>
              <w:spacing w:after="0"/>
              <w:rPr>
                <w:sz w:val="19"/>
                <w:szCs w:val="19"/>
                <w:color w:val="auto"/>
              </w:rPr>
            </w:pPr>
          </w:p>
        </w:tc>
        <w:tc>
          <w:tcPr>
            <w:tcW w:w="340" w:type="dxa"/>
            <w:vAlign w:val="bottom"/>
            <w:shd w:val="clear" w:color="auto" w:fill="EEEEEE"/>
          </w:tcPr>
          <w:p>
            <w:pPr>
              <w:spacing w:after="0"/>
              <w:rPr>
                <w:sz w:val="19"/>
                <w:szCs w:val="19"/>
                <w:color w:val="auto"/>
              </w:rPr>
            </w:pPr>
          </w:p>
        </w:tc>
        <w:tc>
          <w:tcPr>
            <w:tcW w:w="9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4,767</w:t>
            </w:r>
          </w:p>
        </w:tc>
        <w:tc>
          <w:tcPr>
            <w:tcW w:w="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4740" w:type="dxa"/>
            <w:vAlign w:val="bottom"/>
            <w:tcBorders>
              <w:bottom w:val="single" w:sz="8" w:color="EEEEEE"/>
            </w:tcBorders>
          </w:tcPr>
          <w:p>
            <w:pPr>
              <w:spacing w:after="0"/>
              <w:rPr>
                <w:sz w:val="20"/>
                <w:szCs w:val="20"/>
                <w:color w:val="auto"/>
              </w:rPr>
            </w:pPr>
            <w:r>
              <w:rPr>
                <w:rFonts w:ascii="Arial" w:cs="Arial" w:eastAsia="Arial" w:hAnsi="Arial"/>
                <w:sz w:val="18"/>
                <w:szCs w:val="18"/>
                <w:b w:val="1"/>
                <w:bCs w:val="1"/>
                <w:color w:val="auto"/>
              </w:rPr>
              <w:t>Net loss attributable to the company</w:t>
            </w:r>
          </w:p>
        </w:tc>
        <w:tc>
          <w:tcPr>
            <w:tcW w:w="13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(264,059)</w:t>
            </w:r>
          </w:p>
        </w:tc>
        <w:tc>
          <w:tcPr>
            <w:tcW w:w="340" w:type="dxa"/>
            <w:vAlign w:val="bottom"/>
            <w:tcBorders>
              <w:bottom w:val="single" w:sz="8" w:color="EEEEEE"/>
            </w:tcBorders>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(865,490)</w:t>
            </w:r>
          </w:p>
        </w:tc>
        <w:tc>
          <w:tcPr>
            <w:tcW w:w="320" w:type="dxa"/>
            <w:vAlign w:val="bottom"/>
            <w:tcBorders>
              <w:bottom w:val="single" w:sz="8" w:color="EEEEEE"/>
            </w:tcBorders>
          </w:tcPr>
          <w:p>
            <w:pPr>
              <w:spacing w:after="0"/>
              <w:rPr>
                <w:sz w:val="22"/>
                <w:szCs w:val="22"/>
                <w:color w:val="auto"/>
              </w:rPr>
            </w:pPr>
          </w:p>
        </w:tc>
        <w:tc>
          <w:tcPr>
            <w:tcW w:w="13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(1,563,081)</w:t>
            </w:r>
          </w:p>
        </w:tc>
        <w:tc>
          <w:tcPr>
            <w:tcW w:w="320" w:type="dxa"/>
            <w:vAlign w:val="bottom"/>
            <w:tcBorders>
              <w:bottom w:val="single" w:sz="8" w:color="EEEEEE"/>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(2,055,187)</w:t>
            </w:r>
          </w:p>
        </w:tc>
        <w:tc>
          <w:tcPr>
            <w:tcW w:w="100" w:type="dxa"/>
            <w:vAlign w:val="bottom"/>
            <w:tcBorders>
              <w:bottom w:val="single" w:sz="8" w:color="EEEEEE"/>
            </w:tcBorders>
            <w:gridSpan w:val="2"/>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474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9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b w:val="1"/>
                <w:bCs w:val="1"/>
                <w:color w:val="auto"/>
              </w:rPr>
              <w:t>Comprehensive (loss) income</w:t>
            </w: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loss</w:t>
            </w:r>
          </w:p>
        </w:tc>
        <w:tc>
          <w:tcPr>
            <w:tcW w:w="1700" w:type="dxa"/>
            <w:vAlign w:val="bottom"/>
            <w:gridSpan w:val="3"/>
            <w:shd w:val="clear" w:color="auto" w:fill="EEEEEE"/>
          </w:tcPr>
          <w:p>
            <w:pPr>
              <w:jc w:val="right"/>
              <w:ind w:right="201"/>
              <w:spacing w:after="0"/>
              <w:rPr>
                <w:sz w:val="20"/>
                <w:szCs w:val="20"/>
                <w:color w:val="auto"/>
              </w:rPr>
            </w:pPr>
            <w:r>
              <w:rPr>
                <w:rFonts w:ascii="Arial" w:cs="Arial" w:eastAsia="Arial" w:hAnsi="Arial"/>
                <w:sz w:val="18"/>
                <w:szCs w:val="18"/>
                <w:color w:val="auto"/>
              </w:rPr>
              <w:t>(272,778)</w:t>
            </w:r>
          </w:p>
        </w:tc>
        <w:tc>
          <w:tcPr>
            <w:tcW w:w="1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2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(860,723)</w:t>
            </w:r>
          </w:p>
        </w:tc>
        <w:tc>
          <w:tcPr>
            <w:tcW w:w="1660" w:type="dxa"/>
            <w:vAlign w:val="bottom"/>
            <w:gridSpan w:val="3"/>
            <w:shd w:val="clear" w:color="auto" w:fill="EEEEEE"/>
          </w:tcPr>
          <w:p>
            <w:pPr>
              <w:jc w:val="right"/>
              <w:ind w:right="181"/>
              <w:spacing w:after="0"/>
              <w:rPr>
                <w:sz w:val="20"/>
                <w:szCs w:val="20"/>
                <w:color w:val="auto"/>
              </w:rPr>
            </w:pPr>
            <w:r>
              <w:rPr>
                <w:rFonts w:ascii="Arial" w:cs="Arial" w:eastAsia="Arial" w:hAnsi="Arial"/>
                <w:sz w:val="18"/>
                <w:szCs w:val="18"/>
                <w:color w:val="auto"/>
              </w:rPr>
              <w:t>(1,607,279)</w:t>
            </w:r>
          </w:p>
        </w:tc>
        <w:tc>
          <w:tcPr>
            <w:tcW w:w="1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0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(2,050,420)</w:t>
            </w:r>
          </w:p>
        </w:tc>
        <w:tc>
          <w:tcPr>
            <w:tcW w:w="0" w:type="dxa"/>
            <w:vAlign w:val="bottom"/>
          </w:tcPr>
          <w:p>
            <w:pPr>
              <w:spacing w:after="0"/>
              <w:rPr>
                <w:sz w:val="1"/>
                <w:szCs w:val="1"/>
                <w:color w:val="auto"/>
              </w:rPr>
            </w:pPr>
          </w:p>
        </w:tc>
      </w:tr>
      <w:tr>
        <w:trPr>
          <w:trHeight w:val="229"/>
        </w:trPr>
        <w:tc>
          <w:tcPr>
            <w:tcW w:w="4740" w:type="dxa"/>
            <w:vAlign w:val="bottom"/>
          </w:tcPr>
          <w:p>
            <w:pPr>
              <w:ind w:left="180"/>
              <w:spacing w:after="0"/>
              <w:rPr>
                <w:sz w:val="20"/>
                <w:szCs w:val="20"/>
                <w:color w:val="auto"/>
              </w:rPr>
            </w:pPr>
            <w:r>
              <w:rPr>
                <w:rFonts w:ascii="Arial" w:cs="Arial" w:eastAsia="Arial" w:hAnsi="Arial"/>
                <w:sz w:val="18"/>
                <w:szCs w:val="18"/>
                <w:color w:val="auto"/>
              </w:rPr>
              <w:t>Foreign currency translation gain (loss)</w:t>
            </w:r>
          </w:p>
        </w:tc>
        <w:tc>
          <w:tcPr>
            <w:tcW w:w="1700" w:type="dxa"/>
            <w:vAlign w:val="bottom"/>
            <w:gridSpan w:val="3"/>
          </w:tcPr>
          <w:p>
            <w:pPr>
              <w:jc w:val="right"/>
              <w:ind w:right="261"/>
              <w:spacing w:after="0"/>
              <w:rPr>
                <w:sz w:val="20"/>
                <w:szCs w:val="20"/>
                <w:color w:val="auto"/>
              </w:rPr>
            </w:pPr>
            <w:r>
              <w:rPr>
                <w:rFonts w:ascii="Arial" w:cs="Arial" w:eastAsia="Arial" w:hAnsi="Arial"/>
                <w:sz w:val="18"/>
                <w:szCs w:val="18"/>
                <w:color w:val="auto"/>
              </w:rPr>
              <w:t>42,482</w:t>
            </w:r>
          </w:p>
        </w:tc>
        <w:tc>
          <w:tcPr>
            <w:tcW w:w="120" w:type="dxa"/>
            <w:vAlign w:val="bottom"/>
          </w:tcPr>
          <w:p>
            <w:pPr>
              <w:spacing w:after="0"/>
              <w:rPr>
                <w:sz w:val="19"/>
                <w:szCs w:val="19"/>
                <w:color w:val="auto"/>
              </w:rPr>
            </w:pPr>
          </w:p>
        </w:tc>
        <w:tc>
          <w:tcPr>
            <w:tcW w:w="320" w:type="dxa"/>
            <w:vAlign w:val="bottom"/>
          </w:tcPr>
          <w:p>
            <w:pPr>
              <w:spacing w:after="0"/>
              <w:rPr>
                <w:sz w:val="19"/>
                <w:szCs w:val="19"/>
                <w:color w:val="auto"/>
              </w:rPr>
            </w:pPr>
          </w:p>
        </w:tc>
        <w:tc>
          <w:tcPr>
            <w:tcW w:w="1260" w:type="dxa"/>
            <w:vAlign w:val="bottom"/>
            <w:gridSpan w:val="2"/>
          </w:tcPr>
          <w:p>
            <w:pPr>
              <w:jc w:val="right"/>
              <w:ind w:right="181"/>
              <w:spacing w:after="0"/>
              <w:rPr>
                <w:sz w:val="20"/>
                <w:szCs w:val="20"/>
                <w:color w:val="auto"/>
              </w:rPr>
            </w:pPr>
            <w:r>
              <w:rPr>
                <w:rFonts w:ascii="Arial" w:cs="Arial" w:eastAsia="Arial" w:hAnsi="Arial"/>
                <w:sz w:val="18"/>
                <w:szCs w:val="18"/>
                <w:color w:val="auto"/>
              </w:rPr>
              <w:t>(6,343)</w:t>
            </w:r>
          </w:p>
        </w:tc>
        <w:tc>
          <w:tcPr>
            <w:tcW w:w="1660" w:type="dxa"/>
            <w:vAlign w:val="bottom"/>
            <w:gridSpan w:val="3"/>
          </w:tcPr>
          <w:p>
            <w:pPr>
              <w:jc w:val="right"/>
              <w:ind w:right="241"/>
              <w:spacing w:after="0"/>
              <w:rPr>
                <w:sz w:val="20"/>
                <w:szCs w:val="20"/>
                <w:color w:val="auto"/>
              </w:rPr>
            </w:pPr>
            <w:r>
              <w:rPr>
                <w:rFonts w:ascii="Arial" w:cs="Arial" w:eastAsia="Arial" w:hAnsi="Arial"/>
                <w:sz w:val="18"/>
                <w:szCs w:val="18"/>
                <w:color w:val="auto"/>
              </w:rPr>
              <w:t>62,076</w:t>
            </w:r>
          </w:p>
        </w:tc>
        <w:tc>
          <w:tcPr>
            <w:tcW w:w="10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000" w:type="dxa"/>
            <w:vAlign w:val="bottom"/>
            <w:gridSpan w:val="3"/>
          </w:tcPr>
          <w:p>
            <w:pPr>
              <w:jc w:val="right"/>
              <w:ind w:right="40"/>
              <w:spacing w:after="0"/>
              <w:rPr>
                <w:sz w:val="20"/>
                <w:szCs w:val="20"/>
                <w:color w:val="auto"/>
              </w:rPr>
            </w:pPr>
            <w:r>
              <w:rPr>
                <w:rFonts w:ascii="Arial" w:cs="Arial" w:eastAsia="Arial" w:hAnsi="Arial"/>
                <w:sz w:val="18"/>
                <w:szCs w:val="18"/>
                <w:color w:val="auto"/>
              </w:rPr>
              <w:t>(25,569)</w:t>
            </w:r>
          </w:p>
        </w:tc>
        <w:tc>
          <w:tcPr>
            <w:tcW w:w="0" w:type="dxa"/>
            <w:vAlign w:val="bottom"/>
          </w:tcPr>
          <w:p>
            <w:pPr>
              <w:spacing w:after="0"/>
              <w:rPr>
                <w:sz w:val="1"/>
                <w:szCs w:val="1"/>
                <w:color w:val="auto"/>
              </w:rPr>
            </w:pPr>
          </w:p>
        </w:tc>
      </w:tr>
      <w:tr>
        <w:trPr>
          <w:trHeight w:val="210"/>
        </w:trPr>
        <w:tc>
          <w:tcPr>
            <w:tcW w:w="474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comprehensive loss</w:t>
            </w:r>
          </w:p>
        </w:tc>
        <w:tc>
          <w:tcPr>
            <w:tcW w:w="1360" w:type="dxa"/>
            <w:vAlign w:val="bottom"/>
            <w:tcBorders>
              <w:top w:val="single" w:sz="8" w:color="auto"/>
            </w:tcBorders>
            <w:gridSpan w:val="2"/>
            <w:shd w:val="clear" w:color="auto" w:fill="EEEEEE"/>
          </w:tcPr>
          <w:p>
            <w:pPr>
              <w:jc w:val="right"/>
              <w:spacing w:after="0"/>
              <w:rPr>
                <w:sz w:val="20"/>
                <w:szCs w:val="20"/>
                <w:color w:val="auto"/>
              </w:rPr>
            </w:pPr>
            <w:r>
              <w:rPr>
                <w:rFonts w:ascii="Arial" w:cs="Arial" w:eastAsia="Arial" w:hAnsi="Arial"/>
                <w:sz w:val="18"/>
                <w:szCs w:val="18"/>
                <w:color w:val="auto"/>
              </w:rPr>
              <w:t>(230,296)</w:t>
            </w:r>
          </w:p>
        </w:tc>
        <w:tc>
          <w:tcPr>
            <w:tcW w:w="34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320" w:type="dxa"/>
            <w:vAlign w:val="bottom"/>
            <w:tcBorders>
              <w:top w:val="single" w:sz="8" w:color="auto"/>
            </w:tcBorders>
            <w:shd w:val="clear" w:color="auto" w:fill="EEEEEE"/>
          </w:tcPr>
          <w:p>
            <w:pPr>
              <w:spacing w:after="0"/>
              <w:rPr>
                <w:sz w:val="18"/>
                <w:szCs w:val="18"/>
                <w:color w:val="auto"/>
              </w:rPr>
            </w:pPr>
          </w:p>
        </w:tc>
        <w:tc>
          <w:tcPr>
            <w:tcW w:w="94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(867,066)</w:t>
            </w:r>
          </w:p>
        </w:tc>
        <w:tc>
          <w:tcPr>
            <w:tcW w:w="320" w:type="dxa"/>
            <w:vAlign w:val="bottom"/>
            <w:tcBorders>
              <w:top w:val="single" w:sz="8" w:color="EEEEEE"/>
            </w:tcBorders>
            <w:shd w:val="clear" w:color="auto" w:fill="EEEEEE"/>
          </w:tcPr>
          <w:p>
            <w:pPr>
              <w:spacing w:after="0"/>
              <w:rPr>
                <w:sz w:val="18"/>
                <w:szCs w:val="18"/>
                <w:color w:val="auto"/>
              </w:rPr>
            </w:pPr>
          </w:p>
        </w:tc>
        <w:tc>
          <w:tcPr>
            <w:tcW w:w="1340" w:type="dxa"/>
            <w:vAlign w:val="bottom"/>
            <w:tcBorders>
              <w:top w:val="single" w:sz="8" w:color="auto"/>
            </w:tcBorders>
            <w:gridSpan w:val="2"/>
            <w:shd w:val="clear" w:color="auto" w:fill="EEEEEE"/>
          </w:tcPr>
          <w:p>
            <w:pPr>
              <w:jc w:val="right"/>
              <w:spacing w:after="0"/>
              <w:rPr>
                <w:sz w:val="20"/>
                <w:szCs w:val="20"/>
                <w:color w:val="auto"/>
              </w:rPr>
            </w:pPr>
            <w:r>
              <w:rPr>
                <w:rFonts w:ascii="Arial" w:cs="Arial" w:eastAsia="Arial" w:hAnsi="Arial"/>
                <w:sz w:val="18"/>
                <w:szCs w:val="18"/>
                <w:color w:val="auto"/>
              </w:rPr>
              <w:t>(1,545,203)</w:t>
            </w:r>
          </w:p>
        </w:tc>
        <w:tc>
          <w:tcPr>
            <w:tcW w:w="32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spacing w:after="0"/>
              <w:rPr>
                <w:sz w:val="18"/>
                <w:szCs w:val="18"/>
                <w:color w:val="auto"/>
              </w:rPr>
            </w:pPr>
          </w:p>
        </w:tc>
        <w:tc>
          <w:tcPr>
            <w:tcW w:w="340" w:type="dxa"/>
            <w:vAlign w:val="bottom"/>
            <w:tcBorders>
              <w:top w:val="single" w:sz="8" w:color="auto"/>
            </w:tcBorders>
            <w:shd w:val="clear" w:color="auto" w:fill="EEEEEE"/>
          </w:tcPr>
          <w:p>
            <w:pPr>
              <w:spacing w:after="0"/>
              <w:rPr>
                <w:sz w:val="18"/>
                <w:szCs w:val="18"/>
                <w:color w:val="auto"/>
              </w:rPr>
            </w:pPr>
          </w:p>
        </w:tc>
        <w:tc>
          <w:tcPr>
            <w:tcW w:w="9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w w:val="95"/>
              </w:rPr>
              <w:t>(2,075,989)</w:t>
            </w:r>
          </w:p>
        </w:tc>
        <w:tc>
          <w:tcPr>
            <w:tcW w:w="100" w:type="dxa"/>
            <w:vAlign w:val="bottom"/>
            <w:tcBorders>
              <w:top w:val="single" w:sz="8" w:color="EEEEEE"/>
            </w:tcBorders>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740" w:type="dxa"/>
            <w:vAlign w:val="bottom"/>
            <w:shd w:val="clear" w:color="auto" w:fill="EEEEEE"/>
          </w:tcPr>
          <w:p>
            <w:pPr>
              <w:spacing w:after="0" w:line="201" w:lineRule="exact"/>
              <w:rPr>
                <w:sz w:val="20"/>
                <w:szCs w:val="20"/>
                <w:color w:val="auto"/>
              </w:rPr>
            </w:pPr>
            <w:r>
              <w:rPr>
                <w:rFonts w:ascii="Arial" w:cs="Arial" w:eastAsia="Arial" w:hAnsi="Arial"/>
                <w:sz w:val="18"/>
                <w:szCs w:val="18"/>
                <w:color w:val="auto"/>
              </w:rPr>
              <w:t>Less: comprehensive loss attributable to non-controlling</w:t>
            </w:r>
          </w:p>
        </w:tc>
        <w:tc>
          <w:tcPr>
            <w:tcW w:w="12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9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474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interest</w:t>
            </w:r>
          </w:p>
        </w:tc>
        <w:tc>
          <w:tcPr>
            <w:tcW w:w="1700" w:type="dxa"/>
            <w:vAlign w:val="bottom"/>
            <w:gridSpan w:val="3"/>
            <w:shd w:val="clear" w:color="auto" w:fill="EEEEEE"/>
          </w:tcPr>
          <w:p>
            <w:pPr>
              <w:jc w:val="right"/>
              <w:ind w:right="261"/>
              <w:spacing w:after="0"/>
              <w:rPr>
                <w:sz w:val="20"/>
                <w:szCs w:val="20"/>
                <w:color w:val="auto"/>
              </w:rPr>
            </w:pPr>
            <w:r>
              <w:rPr>
                <w:rFonts w:ascii="Arial" w:cs="Arial" w:eastAsia="Arial" w:hAnsi="Arial"/>
                <w:sz w:val="18"/>
                <w:szCs w:val="18"/>
                <w:color w:val="auto"/>
              </w:rPr>
              <w:t>11,037</w:t>
            </w:r>
          </w:p>
        </w:tc>
        <w:tc>
          <w:tcPr>
            <w:tcW w:w="120" w:type="dxa"/>
            <w:vAlign w:val="bottom"/>
            <w:shd w:val="clear" w:color="auto" w:fill="EEEEEE"/>
          </w:tcPr>
          <w:p>
            <w:pPr>
              <w:spacing w:after="0"/>
              <w:rPr>
                <w:sz w:val="21"/>
                <w:szCs w:val="21"/>
                <w:color w:val="auto"/>
              </w:rPr>
            </w:pPr>
          </w:p>
        </w:tc>
        <w:tc>
          <w:tcPr>
            <w:tcW w:w="320" w:type="dxa"/>
            <w:vAlign w:val="bottom"/>
            <w:shd w:val="clear" w:color="auto" w:fill="EEEEEE"/>
          </w:tcPr>
          <w:p>
            <w:pPr>
              <w:spacing w:after="0"/>
              <w:rPr>
                <w:sz w:val="21"/>
                <w:szCs w:val="21"/>
                <w:color w:val="auto"/>
              </w:rPr>
            </w:pPr>
          </w:p>
        </w:tc>
        <w:tc>
          <w:tcPr>
            <w:tcW w:w="12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4,767</w:t>
            </w:r>
          </w:p>
        </w:tc>
        <w:tc>
          <w:tcPr>
            <w:tcW w:w="1660" w:type="dxa"/>
            <w:vAlign w:val="bottom"/>
            <w:gridSpan w:val="3"/>
            <w:shd w:val="clear" w:color="auto" w:fill="EEEEEE"/>
          </w:tcPr>
          <w:p>
            <w:pPr>
              <w:jc w:val="right"/>
              <w:ind w:right="181"/>
              <w:spacing w:after="0"/>
              <w:rPr>
                <w:sz w:val="20"/>
                <w:szCs w:val="20"/>
                <w:color w:val="auto"/>
              </w:rPr>
            </w:pPr>
            <w:r>
              <w:rPr>
                <w:rFonts w:ascii="Arial" w:cs="Arial" w:eastAsia="Arial" w:hAnsi="Arial"/>
                <w:sz w:val="18"/>
                <w:szCs w:val="18"/>
                <w:color w:val="auto"/>
              </w:rPr>
              <w:t>(12,376)</w:t>
            </w:r>
          </w:p>
        </w:tc>
        <w:tc>
          <w:tcPr>
            <w:tcW w:w="100" w:type="dxa"/>
            <w:vAlign w:val="bottom"/>
            <w:shd w:val="clear" w:color="auto" w:fill="EEEEEE"/>
          </w:tcPr>
          <w:p>
            <w:pPr>
              <w:spacing w:after="0"/>
              <w:rPr>
                <w:sz w:val="21"/>
                <w:szCs w:val="21"/>
                <w:color w:val="auto"/>
              </w:rPr>
            </w:pPr>
          </w:p>
        </w:tc>
        <w:tc>
          <w:tcPr>
            <w:tcW w:w="340" w:type="dxa"/>
            <w:vAlign w:val="bottom"/>
            <w:shd w:val="clear" w:color="auto" w:fill="EEEEEE"/>
          </w:tcPr>
          <w:p>
            <w:pPr>
              <w:spacing w:after="0"/>
              <w:rPr>
                <w:sz w:val="21"/>
                <w:szCs w:val="21"/>
                <w:color w:val="auto"/>
              </w:rPr>
            </w:pPr>
          </w:p>
        </w:tc>
        <w:tc>
          <w:tcPr>
            <w:tcW w:w="9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4,767</w:t>
            </w:r>
          </w:p>
        </w:tc>
        <w:tc>
          <w:tcPr>
            <w:tcW w:w="80" w:type="dxa"/>
            <w:vAlign w:val="bottom"/>
            <w:shd w:val="clear" w:color="auto" w:fill="EEEEEE"/>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4740" w:type="dxa"/>
            <w:vAlign w:val="bottom"/>
            <w:tcBorders>
              <w:bottom w:val="single" w:sz="8" w:color="EEEEEE"/>
            </w:tcBorders>
          </w:tcPr>
          <w:p>
            <w:pPr>
              <w:spacing w:after="0"/>
              <w:rPr>
                <w:sz w:val="20"/>
                <w:szCs w:val="20"/>
                <w:color w:val="auto"/>
              </w:rPr>
            </w:pPr>
            <w:r>
              <w:rPr>
                <w:rFonts w:ascii="Arial" w:cs="Arial" w:eastAsia="Arial" w:hAnsi="Arial"/>
                <w:sz w:val="18"/>
                <w:szCs w:val="18"/>
                <w:b w:val="1"/>
                <w:bCs w:val="1"/>
                <w:color w:val="auto"/>
              </w:rPr>
              <w:t>Comprehensive loss attributable to the Company</w:t>
            </w:r>
          </w:p>
        </w:tc>
        <w:tc>
          <w:tcPr>
            <w:tcW w:w="136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(241,333)</w:t>
            </w:r>
          </w:p>
        </w:tc>
        <w:tc>
          <w:tcPr>
            <w:tcW w:w="340" w:type="dxa"/>
            <w:vAlign w:val="bottom"/>
            <w:tcBorders>
              <w:bottom w:val="single" w:sz="8" w:color="EEEEEE"/>
            </w:tcBorders>
          </w:tcPr>
          <w:p>
            <w:pPr>
              <w:spacing w:after="0"/>
              <w:rPr>
                <w:sz w:val="22"/>
                <w:szCs w:val="22"/>
                <w:color w:val="auto"/>
              </w:rPr>
            </w:pPr>
          </w:p>
        </w:tc>
        <w:tc>
          <w:tcPr>
            <w:tcW w:w="120" w:type="dxa"/>
            <w:vAlign w:val="bottom"/>
            <w:tcBorders>
              <w:top w:val="single" w:sz="8" w:color="auto"/>
              <w:bottom w:val="single" w:sz="8" w:color="auto"/>
            </w:tcBorders>
          </w:tcPr>
          <w:p>
            <w:pPr>
              <w:spacing w:after="0"/>
              <w:rPr>
                <w:sz w:val="22"/>
                <w:szCs w:val="22"/>
                <w:color w:val="auto"/>
              </w:rPr>
            </w:pPr>
          </w:p>
        </w:tc>
        <w:tc>
          <w:tcPr>
            <w:tcW w:w="32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(871,833)</w:t>
            </w:r>
          </w:p>
        </w:tc>
        <w:tc>
          <w:tcPr>
            <w:tcW w:w="320" w:type="dxa"/>
            <w:vAlign w:val="bottom"/>
            <w:tcBorders>
              <w:bottom w:val="single" w:sz="8" w:color="EEEEEE"/>
            </w:tcBorders>
          </w:tcPr>
          <w:p>
            <w:pPr>
              <w:spacing w:after="0"/>
              <w:rPr>
                <w:sz w:val="22"/>
                <w:szCs w:val="22"/>
                <w:color w:val="auto"/>
              </w:rPr>
            </w:pPr>
          </w:p>
        </w:tc>
        <w:tc>
          <w:tcPr>
            <w:tcW w:w="134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(1,532,827)</w:t>
            </w:r>
          </w:p>
        </w:tc>
        <w:tc>
          <w:tcPr>
            <w:tcW w:w="320" w:type="dxa"/>
            <w:vAlign w:val="bottom"/>
            <w:tcBorders>
              <w:bottom w:val="single" w:sz="8" w:color="EEEEEE"/>
            </w:tcBorders>
          </w:tcPr>
          <w:p>
            <w:pPr>
              <w:spacing w:after="0"/>
              <w:rPr>
                <w:sz w:val="22"/>
                <w:szCs w:val="22"/>
                <w:color w:val="auto"/>
              </w:rPr>
            </w:pPr>
          </w:p>
        </w:tc>
        <w:tc>
          <w:tcPr>
            <w:tcW w:w="100" w:type="dxa"/>
            <w:vAlign w:val="bottom"/>
            <w:tcBorders>
              <w:top w:val="single" w:sz="8" w:color="auto"/>
              <w:bottom w:val="single" w:sz="8" w:color="auto"/>
            </w:tcBorders>
          </w:tcPr>
          <w:p>
            <w:pPr>
              <w:spacing w:after="0"/>
              <w:rPr>
                <w:sz w:val="22"/>
                <w:szCs w:val="22"/>
                <w:color w:val="auto"/>
              </w:rPr>
            </w:pPr>
          </w:p>
        </w:tc>
        <w:tc>
          <w:tcPr>
            <w:tcW w:w="340" w:type="dxa"/>
            <w:vAlign w:val="bottom"/>
            <w:tcBorders>
              <w:top w:val="single" w:sz="8" w:color="auto"/>
              <w:bottom w:val="single" w:sz="8" w:color="auto"/>
            </w:tcBorders>
          </w:tcPr>
          <w:p>
            <w:pPr>
              <w:spacing w:after="0"/>
              <w:rPr>
                <w:sz w:val="22"/>
                <w:szCs w:val="22"/>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(2,080,756)</w:t>
            </w:r>
          </w:p>
        </w:tc>
        <w:tc>
          <w:tcPr>
            <w:tcW w:w="100" w:type="dxa"/>
            <w:vAlign w:val="bottom"/>
            <w:tcBorders>
              <w:bottom w:val="single" w:sz="8" w:color="EEEEEE"/>
            </w:tcBorders>
            <w:gridSpan w:val="2"/>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474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9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b w:val="1"/>
                <w:bCs w:val="1"/>
                <w:color w:val="auto"/>
              </w:rPr>
              <w:t>Loss per share</w:t>
            </w:r>
          </w:p>
        </w:tc>
        <w:tc>
          <w:tcPr>
            <w:tcW w:w="12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740" w:type="dxa"/>
            <w:vAlign w:val="bottom"/>
            <w:shd w:val="clear" w:color="auto" w:fill="EEEEEE"/>
          </w:tcPr>
          <w:p>
            <w:pPr>
              <w:spacing w:after="0" w:line="201" w:lineRule="exact"/>
              <w:rPr>
                <w:sz w:val="20"/>
                <w:szCs w:val="20"/>
                <w:color w:val="auto"/>
              </w:rPr>
            </w:pPr>
            <w:r>
              <w:rPr>
                <w:rFonts w:ascii="Arial" w:cs="Arial" w:eastAsia="Arial" w:hAnsi="Arial"/>
                <w:sz w:val="18"/>
                <w:szCs w:val="18"/>
                <w:color w:val="auto"/>
              </w:rPr>
              <w:t>Net loss per share from continuing operations - basic and</w:t>
            </w:r>
          </w:p>
        </w:tc>
        <w:tc>
          <w:tcPr>
            <w:tcW w:w="12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9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12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74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diluted</w:t>
            </w:r>
          </w:p>
        </w:tc>
        <w:tc>
          <w:tcPr>
            <w:tcW w:w="1700" w:type="dxa"/>
            <w:vAlign w:val="bottom"/>
            <w:gridSpan w:val="3"/>
            <w:shd w:val="clear" w:color="auto" w:fill="EEEEEE"/>
          </w:tcPr>
          <w:p>
            <w:pPr>
              <w:jc w:val="right"/>
              <w:ind w:right="201"/>
              <w:spacing w:after="0"/>
              <w:rPr>
                <w:sz w:val="20"/>
                <w:szCs w:val="20"/>
                <w:color w:val="auto"/>
              </w:rPr>
            </w:pPr>
            <w:r>
              <w:rPr>
                <w:rFonts w:ascii="Arial" w:cs="Arial" w:eastAsia="Arial" w:hAnsi="Arial"/>
                <w:sz w:val="18"/>
                <w:szCs w:val="18"/>
                <w:color w:val="auto"/>
              </w:rPr>
              <w:t>(0.0264)</w:t>
            </w:r>
          </w:p>
        </w:tc>
        <w:tc>
          <w:tcPr>
            <w:tcW w:w="120" w:type="dxa"/>
            <w:vAlign w:val="bottom"/>
            <w:shd w:val="clear" w:color="auto" w:fill="EEEEEE"/>
          </w:tcPr>
          <w:p>
            <w:pPr>
              <w:spacing w:after="0"/>
              <w:rPr>
                <w:sz w:val="20"/>
                <w:szCs w:val="20"/>
                <w:color w:val="auto"/>
              </w:rPr>
            </w:pPr>
          </w:p>
        </w:tc>
        <w:tc>
          <w:tcPr>
            <w:tcW w:w="320" w:type="dxa"/>
            <w:vAlign w:val="bottom"/>
            <w:shd w:val="clear" w:color="auto" w:fill="EEEEEE"/>
          </w:tcPr>
          <w:p>
            <w:pPr>
              <w:spacing w:after="0"/>
              <w:rPr>
                <w:sz w:val="20"/>
                <w:szCs w:val="20"/>
                <w:color w:val="auto"/>
              </w:rPr>
            </w:pPr>
          </w:p>
        </w:tc>
        <w:tc>
          <w:tcPr>
            <w:tcW w:w="12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(0.0996)</w:t>
            </w:r>
          </w:p>
        </w:tc>
        <w:tc>
          <w:tcPr>
            <w:tcW w:w="1660" w:type="dxa"/>
            <w:vAlign w:val="bottom"/>
            <w:gridSpan w:val="3"/>
            <w:shd w:val="clear" w:color="auto" w:fill="EEEEEE"/>
          </w:tcPr>
          <w:p>
            <w:pPr>
              <w:jc w:val="right"/>
              <w:ind w:right="181"/>
              <w:spacing w:after="0"/>
              <w:rPr>
                <w:sz w:val="20"/>
                <w:szCs w:val="20"/>
                <w:color w:val="auto"/>
              </w:rPr>
            </w:pPr>
            <w:r>
              <w:rPr>
                <w:rFonts w:ascii="Arial" w:cs="Arial" w:eastAsia="Arial" w:hAnsi="Arial"/>
                <w:sz w:val="18"/>
                <w:szCs w:val="18"/>
                <w:color w:val="auto"/>
              </w:rPr>
              <w:t>(0.1611)</w:t>
            </w:r>
          </w:p>
        </w:tc>
        <w:tc>
          <w:tcPr>
            <w:tcW w:w="100" w:type="dxa"/>
            <w:vAlign w:val="bottom"/>
            <w:shd w:val="clear" w:color="auto" w:fill="EEEEEE"/>
          </w:tcPr>
          <w:p>
            <w:pPr>
              <w:spacing w:after="0"/>
              <w:rPr>
                <w:sz w:val="20"/>
                <w:szCs w:val="20"/>
                <w:color w:val="auto"/>
              </w:rPr>
            </w:pPr>
          </w:p>
        </w:tc>
        <w:tc>
          <w:tcPr>
            <w:tcW w:w="340" w:type="dxa"/>
            <w:vAlign w:val="bottom"/>
            <w:shd w:val="clear" w:color="auto" w:fill="EEEEEE"/>
          </w:tcPr>
          <w:p>
            <w:pPr>
              <w:spacing w:after="0"/>
              <w:rPr>
                <w:sz w:val="20"/>
                <w:szCs w:val="20"/>
                <w:color w:val="auto"/>
              </w:rPr>
            </w:pPr>
          </w:p>
        </w:tc>
        <w:tc>
          <w:tcPr>
            <w:tcW w:w="10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(0.2692)</w:t>
            </w:r>
          </w:p>
        </w:tc>
        <w:tc>
          <w:tcPr>
            <w:tcW w:w="0" w:type="dxa"/>
            <w:vAlign w:val="bottom"/>
          </w:tcPr>
          <w:p>
            <w:pPr>
              <w:spacing w:after="0"/>
              <w:rPr>
                <w:sz w:val="1"/>
                <w:szCs w:val="1"/>
                <w:color w:val="auto"/>
              </w:rPr>
            </w:pPr>
          </w:p>
        </w:tc>
      </w:tr>
      <w:tr>
        <w:trPr>
          <w:trHeight w:val="20"/>
        </w:trPr>
        <w:tc>
          <w:tcPr>
            <w:tcW w:w="4740" w:type="dxa"/>
            <w:vAlign w:val="bottom"/>
            <w:tcBorders>
              <w:top w:val="single" w:sz="8" w:color="EEEEEE"/>
              <w:bottom w:val="single" w:sz="8" w:color="EEEEEE"/>
            </w:tcBorders>
            <w:vMerge w:val="restart"/>
          </w:tcPr>
          <w:p>
            <w:pPr>
              <w:spacing w:after="0" w:line="195" w:lineRule="exact"/>
              <w:rPr>
                <w:sz w:val="20"/>
                <w:szCs w:val="20"/>
                <w:color w:val="auto"/>
              </w:rPr>
            </w:pPr>
            <w:r>
              <w:rPr>
                <w:rFonts w:ascii="Arial" w:cs="Arial" w:eastAsia="Arial" w:hAnsi="Arial"/>
                <w:sz w:val="18"/>
                <w:szCs w:val="18"/>
                <w:color w:val="auto"/>
                <w:w w:val="99"/>
              </w:rPr>
              <w:t>Net (loss) income per share from discontinued operations –</w:t>
            </w: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4740" w:type="dxa"/>
            <w:vAlign w:val="bottom"/>
            <w:vMerge w:val="continue"/>
          </w:tcPr>
          <w:p>
            <w:pPr>
              <w:spacing w:after="0"/>
              <w:rPr>
                <w:sz w:val="13"/>
                <w:szCs w:val="13"/>
                <w:color w:val="auto"/>
              </w:rPr>
            </w:pPr>
          </w:p>
        </w:tc>
        <w:tc>
          <w:tcPr>
            <w:tcW w:w="12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70"/>
        </w:trPr>
        <w:tc>
          <w:tcPr>
            <w:tcW w:w="4740" w:type="dxa"/>
            <w:vAlign w:val="bottom"/>
          </w:tcPr>
          <w:p>
            <w:pPr>
              <w:ind w:left="180"/>
              <w:spacing w:after="0"/>
              <w:rPr>
                <w:sz w:val="20"/>
                <w:szCs w:val="20"/>
                <w:color w:val="auto"/>
              </w:rPr>
            </w:pPr>
            <w:r>
              <w:rPr>
                <w:rFonts w:ascii="Arial" w:cs="Arial" w:eastAsia="Arial" w:hAnsi="Arial"/>
                <w:sz w:val="18"/>
                <w:szCs w:val="18"/>
                <w:color w:val="auto"/>
              </w:rPr>
              <w:t>basic and diluted</w:t>
            </w:r>
          </w:p>
        </w:tc>
        <w:tc>
          <w:tcPr>
            <w:tcW w:w="120" w:type="dxa"/>
            <w:vAlign w:val="bottom"/>
          </w:tcPr>
          <w:p>
            <w:pPr>
              <w:spacing w:after="0"/>
              <w:rPr>
                <w:sz w:val="23"/>
                <w:szCs w:val="23"/>
                <w:color w:val="auto"/>
              </w:rPr>
            </w:pPr>
          </w:p>
        </w:tc>
        <w:tc>
          <w:tcPr>
            <w:tcW w:w="2020" w:type="dxa"/>
            <w:vAlign w:val="bottom"/>
            <w:gridSpan w:val="4"/>
          </w:tcPr>
          <w:p>
            <w:pPr>
              <w:jc w:val="right"/>
              <w:ind w:right="78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181"/>
              <w:spacing w:after="0"/>
              <w:rPr>
                <w:sz w:val="20"/>
                <w:szCs w:val="20"/>
                <w:color w:val="auto"/>
              </w:rPr>
            </w:pPr>
            <w:r>
              <w:rPr>
                <w:rFonts w:ascii="Arial" w:cs="Arial" w:eastAsia="Arial" w:hAnsi="Arial"/>
                <w:sz w:val="18"/>
                <w:szCs w:val="18"/>
                <w:color w:val="auto"/>
              </w:rPr>
              <w:t>(0.0075)</w:t>
            </w:r>
          </w:p>
        </w:tc>
        <w:tc>
          <w:tcPr>
            <w:tcW w:w="100" w:type="dxa"/>
            <w:vAlign w:val="bottom"/>
          </w:tcPr>
          <w:p>
            <w:pPr>
              <w:spacing w:after="0"/>
              <w:rPr>
                <w:sz w:val="23"/>
                <w:szCs w:val="23"/>
                <w:color w:val="auto"/>
              </w:rPr>
            </w:pPr>
          </w:p>
        </w:tc>
        <w:tc>
          <w:tcPr>
            <w:tcW w:w="2000" w:type="dxa"/>
            <w:vAlign w:val="bottom"/>
            <w:gridSpan w:val="4"/>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40"/>
              <w:spacing w:after="0"/>
              <w:rPr>
                <w:sz w:val="20"/>
                <w:szCs w:val="20"/>
                <w:color w:val="auto"/>
              </w:rPr>
            </w:pPr>
            <w:r>
              <w:rPr>
                <w:rFonts w:ascii="Arial" w:cs="Arial" w:eastAsia="Arial" w:hAnsi="Arial"/>
                <w:sz w:val="18"/>
                <w:szCs w:val="18"/>
                <w:color w:val="auto"/>
              </w:rPr>
              <w:t>(0.0067)</w:t>
            </w:r>
          </w:p>
        </w:tc>
        <w:tc>
          <w:tcPr>
            <w:tcW w:w="0" w:type="dxa"/>
            <w:vAlign w:val="bottom"/>
          </w:tcPr>
          <w:p>
            <w:pPr>
              <w:spacing w:after="0"/>
              <w:rPr>
                <w:sz w:val="1"/>
                <w:szCs w:val="1"/>
                <w:color w:val="auto"/>
              </w:rPr>
            </w:pPr>
          </w:p>
        </w:tc>
      </w:tr>
      <w:tr>
        <w:trPr>
          <w:trHeight w:val="196"/>
        </w:trPr>
        <w:tc>
          <w:tcPr>
            <w:tcW w:w="4740" w:type="dxa"/>
            <w:vAlign w:val="bottom"/>
            <w:tcBorders>
              <w:top w:val="single" w:sz="8" w:color="EEEEEE"/>
            </w:tcBorders>
            <w:shd w:val="clear" w:color="auto" w:fill="EEEEEE"/>
          </w:tcPr>
          <w:p>
            <w:pPr>
              <w:spacing w:after="0"/>
              <w:rPr>
                <w:sz w:val="17"/>
                <w:szCs w:val="17"/>
                <w:color w:val="auto"/>
              </w:rPr>
            </w:pPr>
          </w:p>
        </w:tc>
        <w:tc>
          <w:tcPr>
            <w:tcW w:w="120" w:type="dxa"/>
            <w:vAlign w:val="bottom"/>
            <w:tcBorders>
              <w:top w:val="single" w:sz="8" w:color="auto"/>
            </w:tcBorders>
            <w:shd w:val="clear" w:color="auto" w:fill="EEEEEE"/>
          </w:tcPr>
          <w:p>
            <w:pPr>
              <w:spacing w:after="0"/>
              <w:rPr>
                <w:sz w:val="17"/>
                <w:szCs w:val="17"/>
                <w:color w:val="auto"/>
              </w:rPr>
            </w:pPr>
          </w:p>
        </w:tc>
        <w:tc>
          <w:tcPr>
            <w:tcW w:w="1240" w:type="dxa"/>
            <w:vAlign w:val="bottom"/>
            <w:tcBorders>
              <w:top w:val="single" w:sz="8" w:color="auto"/>
            </w:tcBorders>
            <w:shd w:val="clear" w:color="auto" w:fill="EEEEEE"/>
          </w:tcPr>
          <w:p>
            <w:pPr>
              <w:spacing w:after="0"/>
              <w:rPr>
                <w:sz w:val="17"/>
                <w:szCs w:val="17"/>
                <w:color w:val="auto"/>
              </w:rPr>
            </w:pPr>
          </w:p>
        </w:tc>
        <w:tc>
          <w:tcPr>
            <w:tcW w:w="340" w:type="dxa"/>
            <w:vAlign w:val="bottom"/>
            <w:tcBorders>
              <w:top w:val="single" w:sz="8" w:color="EEEEEE"/>
            </w:tcBorders>
            <w:shd w:val="clear" w:color="auto" w:fill="EEEEEE"/>
          </w:tcPr>
          <w:p>
            <w:pPr>
              <w:spacing w:after="0"/>
              <w:rPr>
                <w:sz w:val="17"/>
                <w:szCs w:val="17"/>
                <w:color w:val="auto"/>
              </w:rPr>
            </w:pPr>
          </w:p>
        </w:tc>
        <w:tc>
          <w:tcPr>
            <w:tcW w:w="120" w:type="dxa"/>
            <w:vAlign w:val="bottom"/>
            <w:tcBorders>
              <w:top w:val="single" w:sz="8" w:color="auto"/>
            </w:tcBorders>
            <w:shd w:val="clear" w:color="auto" w:fill="EEEEEE"/>
          </w:tcPr>
          <w:p>
            <w:pPr>
              <w:spacing w:after="0"/>
              <w:rPr>
                <w:sz w:val="17"/>
                <w:szCs w:val="17"/>
                <w:color w:val="auto"/>
              </w:rPr>
            </w:pPr>
          </w:p>
        </w:tc>
        <w:tc>
          <w:tcPr>
            <w:tcW w:w="320" w:type="dxa"/>
            <w:vAlign w:val="bottom"/>
            <w:tcBorders>
              <w:top w:val="single" w:sz="8" w:color="auto"/>
            </w:tcBorders>
            <w:shd w:val="clear" w:color="auto" w:fill="EEEEEE"/>
          </w:tcPr>
          <w:p>
            <w:pPr>
              <w:spacing w:after="0"/>
              <w:rPr>
                <w:sz w:val="17"/>
                <w:szCs w:val="17"/>
                <w:color w:val="auto"/>
              </w:rPr>
            </w:pPr>
          </w:p>
        </w:tc>
        <w:tc>
          <w:tcPr>
            <w:tcW w:w="940" w:type="dxa"/>
            <w:vAlign w:val="bottom"/>
            <w:tcBorders>
              <w:top w:val="single" w:sz="8" w:color="auto"/>
            </w:tcBorders>
            <w:shd w:val="clear" w:color="auto" w:fill="EEEEEE"/>
          </w:tcPr>
          <w:p>
            <w:pPr>
              <w:spacing w:after="0"/>
              <w:rPr>
                <w:sz w:val="17"/>
                <w:szCs w:val="17"/>
                <w:color w:val="auto"/>
              </w:rPr>
            </w:pPr>
          </w:p>
        </w:tc>
        <w:tc>
          <w:tcPr>
            <w:tcW w:w="320" w:type="dxa"/>
            <w:vAlign w:val="bottom"/>
            <w:tcBorders>
              <w:top w:val="single" w:sz="8" w:color="EEEEEE"/>
            </w:tcBorders>
            <w:shd w:val="clear" w:color="auto" w:fill="EEEEEE"/>
          </w:tcPr>
          <w:p>
            <w:pPr>
              <w:spacing w:after="0"/>
              <w:rPr>
                <w:sz w:val="17"/>
                <w:szCs w:val="17"/>
                <w:color w:val="auto"/>
              </w:rPr>
            </w:pPr>
          </w:p>
        </w:tc>
        <w:tc>
          <w:tcPr>
            <w:tcW w:w="100" w:type="dxa"/>
            <w:vAlign w:val="bottom"/>
            <w:tcBorders>
              <w:top w:val="single" w:sz="8" w:color="auto"/>
            </w:tcBorders>
            <w:shd w:val="clear" w:color="auto" w:fill="EEEEEE"/>
          </w:tcPr>
          <w:p>
            <w:pPr>
              <w:spacing w:after="0"/>
              <w:rPr>
                <w:sz w:val="17"/>
                <w:szCs w:val="17"/>
                <w:color w:val="auto"/>
              </w:rPr>
            </w:pPr>
          </w:p>
        </w:tc>
        <w:tc>
          <w:tcPr>
            <w:tcW w:w="1240" w:type="dxa"/>
            <w:vAlign w:val="bottom"/>
            <w:tcBorders>
              <w:top w:val="single" w:sz="8" w:color="auto"/>
            </w:tcBorders>
            <w:shd w:val="clear" w:color="auto" w:fill="EEEEEE"/>
          </w:tcPr>
          <w:p>
            <w:pPr>
              <w:spacing w:after="0"/>
              <w:rPr>
                <w:sz w:val="17"/>
                <w:szCs w:val="17"/>
                <w:color w:val="auto"/>
              </w:rPr>
            </w:pPr>
          </w:p>
        </w:tc>
        <w:tc>
          <w:tcPr>
            <w:tcW w:w="320" w:type="dxa"/>
            <w:vAlign w:val="bottom"/>
            <w:tcBorders>
              <w:top w:val="single" w:sz="8" w:color="EEEEEE"/>
            </w:tcBorders>
            <w:shd w:val="clear" w:color="auto" w:fill="EEEEEE"/>
          </w:tcPr>
          <w:p>
            <w:pPr>
              <w:spacing w:after="0"/>
              <w:rPr>
                <w:sz w:val="17"/>
                <w:szCs w:val="17"/>
                <w:color w:val="auto"/>
              </w:rPr>
            </w:pPr>
          </w:p>
        </w:tc>
        <w:tc>
          <w:tcPr>
            <w:tcW w:w="100" w:type="dxa"/>
            <w:vAlign w:val="bottom"/>
            <w:tcBorders>
              <w:top w:val="single" w:sz="8" w:color="auto"/>
            </w:tcBorders>
            <w:shd w:val="clear" w:color="auto" w:fill="EEEEEE"/>
          </w:tcPr>
          <w:p>
            <w:pPr>
              <w:spacing w:after="0"/>
              <w:rPr>
                <w:sz w:val="17"/>
                <w:szCs w:val="17"/>
                <w:color w:val="auto"/>
              </w:rPr>
            </w:pPr>
          </w:p>
        </w:tc>
        <w:tc>
          <w:tcPr>
            <w:tcW w:w="340" w:type="dxa"/>
            <w:vAlign w:val="bottom"/>
            <w:tcBorders>
              <w:top w:val="single" w:sz="8" w:color="auto"/>
            </w:tcBorders>
            <w:shd w:val="clear" w:color="auto" w:fill="EEEEEE"/>
          </w:tcPr>
          <w:p>
            <w:pPr>
              <w:spacing w:after="0"/>
              <w:rPr>
                <w:sz w:val="17"/>
                <w:szCs w:val="17"/>
                <w:color w:val="auto"/>
              </w:rPr>
            </w:pPr>
          </w:p>
        </w:tc>
        <w:tc>
          <w:tcPr>
            <w:tcW w:w="900" w:type="dxa"/>
            <w:vAlign w:val="bottom"/>
            <w:tcBorders>
              <w:top w:val="single" w:sz="8" w:color="auto"/>
            </w:tcBorders>
            <w:shd w:val="clear" w:color="auto" w:fill="EEEEEE"/>
          </w:tcPr>
          <w:p>
            <w:pPr>
              <w:spacing w:after="0"/>
              <w:rPr>
                <w:sz w:val="17"/>
                <w:szCs w:val="17"/>
                <w:color w:val="auto"/>
              </w:rPr>
            </w:pPr>
          </w:p>
        </w:tc>
        <w:tc>
          <w:tcPr>
            <w:tcW w:w="20" w:type="dxa"/>
            <w:vAlign w:val="bottom"/>
            <w:tcBorders>
              <w:top w:val="single" w:sz="8" w:color="EEEEEE"/>
            </w:tcBorders>
            <w:shd w:val="clear" w:color="auto" w:fill="EEEEEE"/>
          </w:tcPr>
          <w:p>
            <w:pPr>
              <w:spacing w:after="0"/>
              <w:rPr>
                <w:sz w:val="17"/>
                <w:szCs w:val="17"/>
                <w:color w:val="auto"/>
              </w:rPr>
            </w:pPr>
          </w:p>
        </w:tc>
        <w:tc>
          <w:tcPr>
            <w:tcW w:w="80" w:type="dxa"/>
            <w:vAlign w:val="bottom"/>
            <w:tcBorders>
              <w:top w:val="single" w:sz="8" w:color="EEEEEE"/>
            </w:tcBorders>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4740" w:type="dxa"/>
            <w:vAlign w:val="bottom"/>
          </w:tcPr>
          <w:p>
            <w:pPr>
              <w:spacing w:after="0" w:line="198" w:lineRule="exact"/>
              <w:rPr>
                <w:sz w:val="20"/>
                <w:szCs w:val="20"/>
                <w:color w:val="auto"/>
              </w:rPr>
            </w:pPr>
            <w:r>
              <w:rPr>
                <w:rFonts w:ascii="Arial" w:cs="Arial" w:eastAsia="Arial" w:hAnsi="Arial"/>
                <w:sz w:val="18"/>
                <w:szCs w:val="18"/>
                <w:b w:val="1"/>
                <w:bCs w:val="1"/>
                <w:color w:val="auto"/>
                <w:w w:val="94"/>
              </w:rPr>
              <w:t>Weighted average number of common shares outstanding</w:t>
            </w:r>
          </w:p>
        </w:tc>
        <w:tc>
          <w:tcPr>
            <w:tcW w:w="12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4740" w:type="dxa"/>
            <w:vAlign w:val="bottom"/>
          </w:tcPr>
          <w:p>
            <w:pPr>
              <w:ind w:left="100"/>
              <w:spacing w:after="0"/>
              <w:rPr>
                <w:sz w:val="20"/>
                <w:szCs w:val="20"/>
                <w:color w:val="auto"/>
              </w:rPr>
            </w:pPr>
            <w:r>
              <w:rPr>
                <w:rFonts w:ascii="Arial" w:cs="Arial" w:eastAsia="Arial" w:hAnsi="Arial"/>
                <w:sz w:val="18"/>
                <w:szCs w:val="18"/>
                <w:b w:val="1"/>
                <w:bCs w:val="1"/>
                <w:color w:val="auto"/>
              </w:rPr>
              <w:t>– basic and diluted</w:t>
            </w:r>
          </w:p>
        </w:tc>
        <w:tc>
          <w:tcPr>
            <w:tcW w:w="1700" w:type="dxa"/>
            <w:vAlign w:val="bottom"/>
            <w:gridSpan w:val="3"/>
          </w:tcPr>
          <w:p>
            <w:pPr>
              <w:jc w:val="right"/>
              <w:ind w:right="261"/>
              <w:spacing w:after="0"/>
              <w:rPr>
                <w:sz w:val="20"/>
                <w:szCs w:val="20"/>
                <w:color w:val="auto"/>
              </w:rPr>
            </w:pPr>
            <w:r>
              <w:rPr>
                <w:rFonts w:ascii="Arial" w:cs="Arial" w:eastAsia="Arial" w:hAnsi="Arial"/>
                <w:sz w:val="18"/>
                <w:szCs w:val="18"/>
                <w:color w:val="auto"/>
              </w:rPr>
              <w:t>10,019,125</w:t>
            </w:r>
          </w:p>
        </w:tc>
        <w:tc>
          <w:tcPr>
            <w:tcW w:w="120" w:type="dxa"/>
            <w:vAlign w:val="bottom"/>
          </w:tcPr>
          <w:p>
            <w:pPr>
              <w:spacing w:after="0"/>
              <w:rPr>
                <w:sz w:val="22"/>
                <w:szCs w:val="22"/>
                <w:color w:val="auto"/>
              </w:rPr>
            </w:pPr>
          </w:p>
        </w:tc>
        <w:tc>
          <w:tcPr>
            <w:tcW w:w="320" w:type="dxa"/>
            <w:vAlign w:val="bottom"/>
          </w:tcPr>
          <w:p>
            <w:pPr>
              <w:spacing w:after="0"/>
              <w:rPr>
                <w:sz w:val="22"/>
                <w:szCs w:val="22"/>
                <w:color w:val="auto"/>
              </w:rPr>
            </w:pPr>
          </w:p>
        </w:tc>
        <w:tc>
          <w:tcPr>
            <w:tcW w:w="1260" w:type="dxa"/>
            <w:vAlign w:val="bottom"/>
            <w:gridSpan w:val="2"/>
          </w:tcPr>
          <w:p>
            <w:pPr>
              <w:jc w:val="right"/>
              <w:ind w:right="241"/>
              <w:spacing w:after="0"/>
              <w:rPr>
                <w:sz w:val="20"/>
                <w:szCs w:val="20"/>
                <w:color w:val="auto"/>
              </w:rPr>
            </w:pPr>
            <w:r>
              <w:rPr>
                <w:rFonts w:ascii="Arial" w:cs="Arial" w:eastAsia="Arial" w:hAnsi="Arial"/>
                <w:sz w:val="18"/>
                <w:szCs w:val="18"/>
                <w:color w:val="auto"/>
              </w:rPr>
              <w:t>8,078,587</w:t>
            </w:r>
          </w:p>
        </w:tc>
        <w:tc>
          <w:tcPr>
            <w:tcW w:w="1660" w:type="dxa"/>
            <w:vAlign w:val="bottom"/>
            <w:gridSpan w:val="3"/>
          </w:tcPr>
          <w:p>
            <w:pPr>
              <w:jc w:val="right"/>
              <w:ind w:right="241"/>
              <w:spacing w:after="0"/>
              <w:rPr>
                <w:sz w:val="20"/>
                <w:szCs w:val="20"/>
                <w:color w:val="auto"/>
              </w:rPr>
            </w:pPr>
            <w:r>
              <w:rPr>
                <w:rFonts w:ascii="Arial" w:cs="Arial" w:eastAsia="Arial" w:hAnsi="Arial"/>
                <w:sz w:val="18"/>
                <w:szCs w:val="18"/>
                <w:color w:val="auto"/>
              </w:rPr>
              <w:t>9,703,101</w:t>
            </w:r>
          </w:p>
        </w:tc>
        <w:tc>
          <w:tcPr>
            <w:tcW w:w="100" w:type="dxa"/>
            <w:vAlign w:val="bottom"/>
          </w:tcPr>
          <w:p>
            <w:pPr>
              <w:spacing w:after="0"/>
              <w:rPr>
                <w:sz w:val="22"/>
                <w:szCs w:val="22"/>
                <w:color w:val="auto"/>
              </w:rPr>
            </w:pPr>
          </w:p>
        </w:tc>
        <w:tc>
          <w:tcPr>
            <w:tcW w:w="340" w:type="dxa"/>
            <w:vAlign w:val="bottom"/>
          </w:tcPr>
          <w:p>
            <w:pPr>
              <w:spacing w:after="0"/>
              <w:rPr>
                <w:sz w:val="22"/>
                <w:szCs w:val="22"/>
                <w:color w:val="auto"/>
              </w:rPr>
            </w:pPr>
          </w:p>
        </w:tc>
        <w:tc>
          <w:tcPr>
            <w:tcW w:w="920" w:type="dxa"/>
            <w:vAlign w:val="bottom"/>
            <w:gridSpan w:val="2"/>
          </w:tcPr>
          <w:p>
            <w:pPr>
              <w:jc w:val="right"/>
              <w:spacing w:after="0"/>
              <w:rPr>
                <w:sz w:val="20"/>
                <w:szCs w:val="20"/>
                <w:color w:val="auto"/>
              </w:rPr>
            </w:pPr>
            <w:r>
              <w:rPr>
                <w:rFonts w:ascii="Arial" w:cs="Arial" w:eastAsia="Arial" w:hAnsi="Arial"/>
                <w:sz w:val="18"/>
                <w:szCs w:val="18"/>
                <w:color w:val="auto"/>
              </w:rPr>
              <w:t>7,448,770</w:t>
            </w:r>
          </w:p>
        </w:tc>
        <w:tc>
          <w:tcPr>
            <w:tcW w:w="8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20"/>
        </w:trPr>
        <w:tc>
          <w:tcPr>
            <w:tcW w:w="47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2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660" w:type="dxa"/>
            <w:vAlign w:val="bottom"/>
          </w:tcPr>
          <w:p>
            <w:pPr>
              <w:spacing w:after="0"/>
              <w:rPr>
                <w:sz w:val="19"/>
                <w:szCs w:val="19"/>
                <w:color w:val="auto"/>
              </w:rPr>
            </w:pPr>
          </w:p>
        </w:tc>
        <w:tc>
          <w:tcPr>
            <w:tcW w:w="3580" w:type="dxa"/>
            <w:vAlign w:val="bottom"/>
            <w:gridSpan w:val="4"/>
          </w:tcPr>
          <w:p>
            <w:pPr>
              <w:jc w:val="right"/>
              <w:ind w:right="461"/>
              <w:spacing w:after="0"/>
              <w:rPr>
                <w:sz w:val="20"/>
                <w:szCs w:val="20"/>
                <w:color w:val="auto"/>
              </w:rPr>
            </w:pPr>
            <w:r>
              <w:rPr>
                <w:rFonts w:ascii="Arial" w:cs="Arial" w:eastAsia="Arial" w:hAnsi="Arial"/>
                <w:sz w:val="18"/>
                <w:szCs w:val="18"/>
                <w:b w:val="1"/>
                <w:bCs w:val="1"/>
                <w:color w:val="auto"/>
              </w:rPr>
              <w:t>Nine months ended September 30,</w:t>
            </w:r>
          </w:p>
        </w:tc>
      </w:tr>
      <w:tr>
        <w:trPr>
          <w:trHeight w:val="234"/>
        </w:trPr>
        <w:tc>
          <w:tcPr>
            <w:tcW w:w="7660" w:type="dxa"/>
            <w:vAlign w:val="bottom"/>
          </w:tcPr>
          <w:p>
            <w:pPr>
              <w:spacing w:after="0"/>
              <w:rPr>
                <w:sz w:val="20"/>
                <w:szCs w:val="20"/>
                <w:color w:val="auto"/>
              </w:rPr>
            </w:pPr>
          </w:p>
        </w:tc>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09"/>
        </w:trPr>
        <w:tc>
          <w:tcPr>
            <w:tcW w:w="766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Cash flows from operating activities:</w:t>
            </w:r>
          </w:p>
        </w:tc>
        <w:tc>
          <w:tcPr>
            <w:tcW w:w="15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Net loss from continuing operations</w:t>
            </w:r>
          </w:p>
        </w:tc>
        <w:tc>
          <w:tcPr>
            <w:tcW w:w="1900" w:type="dxa"/>
            <w:vAlign w:val="bottom"/>
            <w:gridSpan w:val="2"/>
          </w:tcPr>
          <w:p>
            <w:pPr>
              <w:jc w:val="right"/>
              <w:ind w:right="181"/>
              <w:spacing w:after="0"/>
              <w:rPr>
                <w:sz w:val="20"/>
                <w:szCs w:val="20"/>
                <w:color w:val="auto"/>
              </w:rPr>
            </w:pPr>
            <w:r>
              <w:rPr>
                <w:rFonts w:ascii="Arial" w:cs="Arial" w:eastAsia="Arial" w:hAnsi="Arial"/>
                <w:sz w:val="18"/>
                <w:szCs w:val="18"/>
                <w:color w:val="auto"/>
              </w:rPr>
              <w:t>(1,607,279)</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(2,000,358)</w:t>
            </w:r>
          </w:p>
        </w:tc>
      </w:tr>
      <w:tr>
        <w:trPr>
          <w:trHeight w:val="229"/>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Less: net income from discontinued operations</w:t>
            </w:r>
          </w:p>
        </w:tc>
        <w:tc>
          <w:tcPr>
            <w:tcW w:w="190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(50,062)</w:t>
            </w:r>
          </w:p>
        </w:tc>
      </w:tr>
      <w:tr>
        <w:trPr>
          <w:trHeight w:val="210"/>
        </w:trPr>
        <w:tc>
          <w:tcPr>
            <w:tcW w:w="7660" w:type="dxa"/>
            <w:vAlign w:val="bottom"/>
          </w:tcPr>
          <w:p>
            <w:pPr>
              <w:spacing w:after="0"/>
              <w:rPr>
                <w:sz w:val="20"/>
                <w:szCs w:val="20"/>
                <w:color w:val="auto"/>
              </w:rPr>
            </w:pPr>
            <w:r>
              <w:rPr>
                <w:rFonts w:ascii="Arial" w:cs="Arial" w:eastAsia="Arial" w:hAnsi="Arial"/>
                <w:sz w:val="18"/>
                <w:szCs w:val="18"/>
                <w:color w:val="auto"/>
              </w:rPr>
              <w:t>Net loss</w:t>
            </w: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(1,607,279)</w:t>
            </w:r>
          </w:p>
        </w:tc>
        <w:tc>
          <w:tcPr>
            <w:tcW w:w="320" w:type="dxa"/>
            <w:vAlign w:val="bottom"/>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(2,050,420)</w:t>
            </w: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Adjustments to reconcile net income to net cash used in operating activities:</w:t>
            </w:r>
          </w:p>
        </w:tc>
        <w:tc>
          <w:tcPr>
            <w:tcW w:w="15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660" w:type="dxa"/>
            <w:vAlign w:val="bottom"/>
          </w:tcPr>
          <w:p>
            <w:pPr>
              <w:ind w:left="180"/>
              <w:spacing w:after="0"/>
              <w:rPr>
                <w:sz w:val="20"/>
                <w:szCs w:val="20"/>
                <w:color w:val="auto"/>
              </w:rPr>
            </w:pPr>
            <w:r>
              <w:rPr>
                <w:rFonts w:ascii="Arial" w:cs="Arial" w:eastAsia="Arial" w:hAnsi="Arial"/>
                <w:sz w:val="18"/>
                <w:szCs w:val="18"/>
                <w:color w:val="auto"/>
              </w:rPr>
              <w:t>Depreciation expenses</w:t>
            </w:r>
          </w:p>
        </w:tc>
        <w:tc>
          <w:tcPr>
            <w:tcW w:w="1900" w:type="dxa"/>
            <w:vAlign w:val="bottom"/>
            <w:gridSpan w:val="2"/>
          </w:tcPr>
          <w:p>
            <w:pPr>
              <w:jc w:val="right"/>
              <w:ind w:right="241"/>
              <w:spacing w:after="0"/>
              <w:rPr>
                <w:sz w:val="20"/>
                <w:szCs w:val="20"/>
                <w:color w:val="auto"/>
              </w:rPr>
            </w:pPr>
            <w:r>
              <w:rPr>
                <w:rFonts w:ascii="Arial" w:cs="Arial" w:eastAsia="Arial" w:hAnsi="Arial"/>
                <w:sz w:val="18"/>
                <w:szCs w:val="18"/>
                <w:color w:val="auto"/>
              </w:rPr>
              <w:t>109,953</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36</w:t>
            </w:r>
          </w:p>
        </w:tc>
      </w:tr>
      <w:tr>
        <w:trPr>
          <w:trHeight w:val="216"/>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Amortization of intangible assets</w:t>
            </w:r>
          </w:p>
        </w:tc>
        <w:tc>
          <w:tcPr>
            <w:tcW w:w="190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12,228</w:t>
            </w:r>
          </w:p>
        </w:tc>
        <w:tc>
          <w:tcPr>
            <w:tcW w:w="16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tcPr>
          <w:p>
            <w:pPr>
              <w:ind w:left="180"/>
              <w:spacing w:after="0"/>
              <w:rPr>
                <w:sz w:val="20"/>
                <w:szCs w:val="20"/>
                <w:color w:val="auto"/>
              </w:rPr>
            </w:pPr>
            <w:r>
              <w:rPr>
                <w:rFonts w:ascii="Arial" w:cs="Arial" w:eastAsia="Arial" w:hAnsi="Arial"/>
                <w:sz w:val="18"/>
                <w:szCs w:val="18"/>
                <w:color w:val="auto"/>
              </w:rPr>
              <w:t>Loss on disposal of XFC</w:t>
            </w:r>
          </w:p>
        </w:tc>
        <w:tc>
          <w:tcPr>
            <w:tcW w:w="190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Deferred income tax</w:t>
            </w:r>
          </w:p>
        </w:tc>
        <w:tc>
          <w:tcPr>
            <w:tcW w:w="190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tcPr>
          <w:p>
            <w:pPr>
              <w:ind w:left="180"/>
              <w:spacing w:after="0"/>
              <w:rPr>
                <w:sz w:val="20"/>
                <w:szCs w:val="20"/>
                <w:color w:val="auto"/>
              </w:rPr>
            </w:pPr>
            <w:r>
              <w:rPr>
                <w:rFonts w:ascii="Arial" w:cs="Arial" w:eastAsia="Arial" w:hAnsi="Arial"/>
                <w:sz w:val="18"/>
                <w:szCs w:val="18"/>
                <w:color w:val="auto"/>
              </w:rPr>
              <w:t>Gain on fair value change of financial assets at FVTPL</w:t>
            </w:r>
          </w:p>
        </w:tc>
        <w:tc>
          <w:tcPr>
            <w:tcW w:w="1900" w:type="dxa"/>
            <w:vAlign w:val="bottom"/>
            <w:gridSpan w:val="2"/>
          </w:tcPr>
          <w:p>
            <w:pPr>
              <w:jc w:val="right"/>
              <w:ind w:right="181"/>
              <w:spacing w:after="0"/>
              <w:rPr>
                <w:sz w:val="20"/>
                <w:szCs w:val="20"/>
                <w:color w:val="auto"/>
              </w:rPr>
            </w:pPr>
            <w:r>
              <w:rPr>
                <w:rFonts w:ascii="Arial" w:cs="Arial" w:eastAsia="Arial" w:hAnsi="Arial"/>
                <w:sz w:val="18"/>
                <w:szCs w:val="18"/>
                <w:color w:val="auto"/>
              </w:rPr>
              <w:t>(5,902)</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Consultancy services settled by equities</w:t>
            </w:r>
          </w:p>
        </w:tc>
        <w:tc>
          <w:tcPr>
            <w:tcW w:w="190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521,100</w:t>
            </w:r>
          </w:p>
        </w:tc>
        <w:tc>
          <w:tcPr>
            <w:tcW w:w="16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tcPr>
          <w:p>
            <w:pPr>
              <w:ind w:left="180"/>
              <w:spacing w:after="0"/>
              <w:rPr>
                <w:sz w:val="20"/>
                <w:szCs w:val="20"/>
                <w:color w:val="auto"/>
              </w:rPr>
            </w:pPr>
            <w:r>
              <w:rPr>
                <w:rFonts w:ascii="Arial" w:cs="Arial" w:eastAsia="Arial" w:hAnsi="Arial"/>
                <w:sz w:val="18"/>
                <w:szCs w:val="18"/>
                <w:color w:val="auto"/>
              </w:rPr>
              <w:t>Share-based compensation</w:t>
            </w:r>
          </w:p>
        </w:tc>
        <w:tc>
          <w:tcPr>
            <w:tcW w:w="1900" w:type="dxa"/>
            <w:vAlign w:val="bottom"/>
            <w:gridSpan w:val="2"/>
          </w:tcPr>
          <w:p>
            <w:pPr>
              <w:jc w:val="right"/>
              <w:ind w:right="241"/>
              <w:spacing w:after="0"/>
              <w:rPr>
                <w:sz w:val="20"/>
                <w:szCs w:val="20"/>
                <w:color w:val="auto"/>
              </w:rPr>
            </w:pPr>
            <w:r>
              <w:rPr>
                <w:rFonts w:ascii="Arial" w:cs="Arial" w:eastAsia="Arial" w:hAnsi="Arial"/>
                <w:sz w:val="18"/>
                <w:szCs w:val="18"/>
                <w:color w:val="auto"/>
              </w:rPr>
              <w:t>148,288</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812,898</w:t>
            </w: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Changes in operating assets and liabilities:</w:t>
            </w:r>
          </w:p>
        </w:tc>
        <w:tc>
          <w:tcPr>
            <w:tcW w:w="15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660" w:type="dxa"/>
            <w:vAlign w:val="bottom"/>
          </w:tcPr>
          <w:p>
            <w:pPr>
              <w:ind w:left="180"/>
              <w:spacing w:after="0"/>
              <w:rPr>
                <w:sz w:val="20"/>
                <w:szCs w:val="20"/>
                <w:color w:val="auto"/>
              </w:rPr>
            </w:pPr>
            <w:r>
              <w:rPr>
                <w:rFonts w:ascii="Arial" w:cs="Arial" w:eastAsia="Arial" w:hAnsi="Arial"/>
                <w:sz w:val="18"/>
                <w:szCs w:val="18"/>
                <w:color w:val="auto"/>
              </w:rPr>
              <w:t>Accounts receivable, net</w:t>
            </w:r>
          </w:p>
        </w:tc>
        <w:tc>
          <w:tcPr>
            <w:tcW w:w="1900" w:type="dxa"/>
            <w:vAlign w:val="bottom"/>
            <w:gridSpan w:val="2"/>
          </w:tcPr>
          <w:p>
            <w:pPr>
              <w:jc w:val="right"/>
              <w:ind w:right="181"/>
              <w:spacing w:after="0"/>
              <w:rPr>
                <w:sz w:val="20"/>
                <w:szCs w:val="20"/>
                <w:color w:val="auto"/>
              </w:rPr>
            </w:pPr>
            <w:r>
              <w:rPr>
                <w:rFonts w:ascii="Arial" w:cs="Arial" w:eastAsia="Arial" w:hAnsi="Arial"/>
                <w:sz w:val="18"/>
                <w:szCs w:val="18"/>
                <w:color w:val="auto"/>
              </w:rPr>
              <w:t>(42,210)</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(36,990)</w:t>
            </w:r>
          </w:p>
        </w:tc>
      </w:tr>
      <w:tr>
        <w:trPr>
          <w:trHeight w:val="216"/>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Inventories</w:t>
            </w:r>
          </w:p>
        </w:tc>
        <w:tc>
          <w:tcPr>
            <w:tcW w:w="190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1,343</w:t>
            </w:r>
          </w:p>
        </w:tc>
        <w:tc>
          <w:tcPr>
            <w:tcW w:w="1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(5,450)</w:t>
            </w:r>
          </w:p>
        </w:tc>
      </w:tr>
      <w:tr>
        <w:trPr>
          <w:trHeight w:val="216"/>
        </w:trPr>
        <w:tc>
          <w:tcPr>
            <w:tcW w:w="7660" w:type="dxa"/>
            <w:vAlign w:val="bottom"/>
          </w:tcPr>
          <w:p>
            <w:pPr>
              <w:ind w:left="180"/>
              <w:spacing w:after="0"/>
              <w:rPr>
                <w:sz w:val="20"/>
                <w:szCs w:val="20"/>
                <w:color w:val="auto"/>
              </w:rPr>
            </w:pPr>
            <w:r>
              <w:rPr>
                <w:rFonts w:ascii="Arial" w:cs="Arial" w:eastAsia="Arial" w:hAnsi="Arial"/>
                <w:sz w:val="18"/>
                <w:szCs w:val="18"/>
                <w:color w:val="auto"/>
              </w:rPr>
              <w:t>Advance to suppliers</w:t>
            </w:r>
          </w:p>
        </w:tc>
        <w:tc>
          <w:tcPr>
            <w:tcW w:w="190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Prepaid expenses and other assets, net</w:t>
            </w:r>
          </w:p>
        </w:tc>
        <w:tc>
          <w:tcPr>
            <w:tcW w:w="190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(146,781)</w:t>
            </w:r>
          </w:p>
        </w:tc>
        <w:tc>
          <w:tcPr>
            <w:tcW w:w="1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(1,563,118)</w:t>
            </w:r>
          </w:p>
        </w:tc>
      </w:tr>
      <w:tr>
        <w:trPr>
          <w:trHeight w:val="216"/>
        </w:trPr>
        <w:tc>
          <w:tcPr>
            <w:tcW w:w="7660" w:type="dxa"/>
            <w:vAlign w:val="bottom"/>
          </w:tcPr>
          <w:p>
            <w:pPr>
              <w:ind w:left="180"/>
              <w:spacing w:after="0"/>
              <w:rPr>
                <w:sz w:val="20"/>
                <w:szCs w:val="20"/>
                <w:color w:val="auto"/>
              </w:rPr>
            </w:pPr>
            <w:r>
              <w:rPr>
                <w:rFonts w:ascii="Arial" w:cs="Arial" w:eastAsia="Arial" w:hAnsi="Arial"/>
                <w:sz w:val="18"/>
                <w:szCs w:val="18"/>
                <w:color w:val="auto"/>
              </w:rPr>
              <w:t>Retention receivables</w:t>
            </w:r>
          </w:p>
        </w:tc>
        <w:tc>
          <w:tcPr>
            <w:tcW w:w="190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Other non-current assets</w:t>
            </w:r>
          </w:p>
        </w:tc>
        <w:tc>
          <w:tcPr>
            <w:tcW w:w="190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(4,865)</w:t>
            </w:r>
          </w:p>
        </w:tc>
        <w:tc>
          <w:tcPr>
            <w:tcW w:w="16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tcPr>
          <w:p>
            <w:pPr>
              <w:ind w:left="180"/>
              <w:spacing w:after="0"/>
              <w:rPr>
                <w:sz w:val="20"/>
                <w:szCs w:val="20"/>
                <w:color w:val="auto"/>
              </w:rPr>
            </w:pPr>
            <w:r>
              <w:rPr>
                <w:rFonts w:ascii="Arial" w:cs="Arial" w:eastAsia="Arial" w:hAnsi="Arial"/>
                <w:sz w:val="18"/>
                <w:szCs w:val="18"/>
                <w:color w:val="auto"/>
              </w:rPr>
              <w:t>Notes payable</w:t>
            </w:r>
          </w:p>
        </w:tc>
        <w:tc>
          <w:tcPr>
            <w:tcW w:w="190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Accounts payable</w:t>
            </w:r>
          </w:p>
        </w:tc>
        <w:tc>
          <w:tcPr>
            <w:tcW w:w="190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(2,631)</w:t>
            </w:r>
          </w:p>
        </w:tc>
        <w:tc>
          <w:tcPr>
            <w:tcW w:w="16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566,932</w:t>
            </w:r>
          </w:p>
        </w:tc>
      </w:tr>
      <w:tr>
        <w:trPr>
          <w:trHeight w:val="216"/>
        </w:trPr>
        <w:tc>
          <w:tcPr>
            <w:tcW w:w="7660" w:type="dxa"/>
            <w:vAlign w:val="bottom"/>
          </w:tcPr>
          <w:p>
            <w:pPr>
              <w:ind w:left="180"/>
              <w:spacing w:after="0"/>
              <w:rPr>
                <w:sz w:val="20"/>
                <w:szCs w:val="20"/>
                <w:color w:val="auto"/>
              </w:rPr>
            </w:pPr>
            <w:r>
              <w:rPr>
                <w:rFonts w:ascii="Arial" w:cs="Arial" w:eastAsia="Arial" w:hAnsi="Arial"/>
                <w:sz w:val="18"/>
                <w:szCs w:val="18"/>
                <w:color w:val="auto"/>
              </w:rPr>
              <w:t>Advance receipts</w:t>
            </w:r>
          </w:p>
        </w:tc>
        <w:tc>
          <w:tcPr>
            <w:tcW w:w="1900" w:type="dxa"/>
            <w:vAlign w:val="bottom"/>
            <w:gridSpan w:val="2"/>
          </w:tcPr>
          <w:p>
            <w:pPr>
              <w:jc w:val="right"/>
              <w:ind w:right="181"/>
              <w:spacing w:after="0"/>
              <w:rPr>
                <w:sz w:val="20"/>
                <w:szCs w:val="20"/>
                <w:color w:val="auto"/>
              </w:rPr>
            </w:pPr>
            <w:r>
              <w:rPr>
                <w:rFonts w:ascii="Arial" w:cs="Arial" w:eastAsia="Arial" w:hAnsi="Arial"/>
                <w:sz w:val="18"/>
                <w:szCs w:val="18"/>
                <w:color w:val="auto"/>
              </w:rPr>
              <w:t>(42,880)</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Other payables and accrued liabilities</w:t>
            </w:r>
          </w:p>
        </w:tc>
        <w:tc>
          <w:tcPr>
            <w:tcW w:w="190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7,763</w:t>
            </w:r>
          </w:p>
        </w:tc>
        <w:tc>
          <w:tcPr>
            <w:tcW w:w="16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6,361</w:t>
            </w:r>
          </w:p>
        </w:tc>
      </w:tr>
      <w:tr>
        <w:trPr>
          <w:trHeight w:val="216"/>
        </w:trPr>
        <w:tc>
          <w:tcPr>
            <w:tcW w:w="7660" w:type="dxa"/>
            <w:vAlign w:val="bottom"/>
          </w:tcPr>
          <w:p>
            <w:pPr>
              <w:ind w:left="180"/>
              <w:spacing w:after="0"/>
              <w:rPr>
                <w:sz w:val="20"/>
                <w:szCs w:val="20"/>
                <w:color w:val="auto"/>
              </w:rPr>
            </w:pPr>
            <w:r>
              <w:rPr>
                <w:rFonts w:ascii="Arial" w:cs="Arial" w:eastAsia="Arial" w:hAnsi="Arial"/>
                <w:sz w:val="18"/>
                <w:szCs w:val="18"/>
                <w:color w:val="auto"/>
              </w:rPr>
              <w:t>Income tax payable</w:t>
            </w:r>
          </w:p>
        </w:tc>
        <w:tc>
          <w:tcPr>
            <w:tcW w:w="1900" w:type="dxa"/>
            <w:vAlign w:val="bottom"/>
            <w:gridSpan w:val="2"/>
          </w:tcPr>
          <w:p>
            <w:pPr>
              <w:jc w:val="right"/>
              <w:ind w:right="181"/>
              <w:spacing w:after="0"/>
              <w:rPr>
                <w:sz w:val="20"/>
                <w:szCs w:val="20"/>
                <w:color w:val="auto"/>
              </w:rPr>
            </w:pPr>
            <w:r>
              <w:rPr>
                <w:rFonts w:ascii="Arial" w:cs="Arial" w:eastAsia="Arial" w:hAnsi="Arial"/>
                <w:sz w:val="18"/>
                <w:szCs w:val="18"/>
                <w:color w:val="auto"/>
              </w:rPr>
              <w:t>(211)</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(4,741)</w:t>
            </w:r>
          </w:p>
        </w:tc>
      </w:tr>
      <w:tr>
        <w:trPr>
          <w:trHeight w:val="230"/>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Amount due from a related party</w:t>
            </w:r>
          </w:p>
        </w:tc>
        <w:tc>
          <w:tcPr>
            <w:tcW w:w="190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(211,555)</w:t>
            </w:r>
          </w:p>
        </w:tc>
      </w:tr>
      <w:tr>
        <w:trPr>
          <w:trHeight w:val="210"/>
        </w:trPr>
        <w:tc>
          <w:tcPr>
            <w:tcW w:w="7660" w:type="dxa"/>
            <w:vAlign w:val="bottom"/>
          </w:tcPr>
          <w:p>
            <w:pPr>
              <w:ind w:left="180"/>
              <w:spacing w:after="0"/>
              <w:rPr>
                <w:sz w:val="20"/>
                <w:szCs w:val="20"/>
                <w:color w:val="auto"/>
              </w:rPr>
            </w:pPr>
            <w:r>
              <w:rPr>
                <w:rFonts w:ascii="Arial" w:cs="Arial" w:eastAsia="Arial" w:hAnsi="Arial"/>
                <w:sz w:val="18"/>
                <w:szCs w:val="18"/>
                <w:color w:val="auto"/>
              </w:rPr>
              <w:t>Net cash (used in) provided by operating activities from continuing operations</w:t>
            </w: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(1,052,084)</w:t>
            </w:r>
          </w:p>
        </w:tc>
        <w:tc>
          <w:tcPr>
            <w:tcW w:w="320" w:type="dxa"/>
            <w:vAlign w:val="bottom"/>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(2,486,047)</w:t>
            </w:r>
          </w:p>
        </w:tc>
        <w:tc>
          <w:tcPr>
            <w:tcW w:w="100" w:type="dxa"/>
            <w:vAlign w:val="bottom"/>
          </w:tcPr>
          <w:p>
            <w:pPr>
              <w:spacing w:after="0"/>
              <w:rPr>
                <w:sz w:val="18"/>
                <w:szCs w:val="18"/>
                <w:color w:val="auto"/>
              </w:rPr>
            </w:pPr>
          </w:p>
        </w:tc>
      </w:tr>
      <w:tr>
        <w:trPr>
          <w:trHeight w:val="230"/>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cash used in operating activities from discontinued operations</w:t>
            </w:r>
          </w:p>
        </w:tc>
        <w:tc>
          <w:tcPr>
            <w:tcW w:w="190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1,816,967</w:t>
            </w:r>
          </w:p>
        </w:tc>
      </w:tr>
      <w:tr>
        <w:trPr>
          <w:trHeight w:val="209"/>
        </w:trPr>
        <w:tc>
          <w:tcPr>
            <w:tcW w:w="766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used in operating activities</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(1,052,084</w:t>
            </w:r>
          </w:p>
        </w:tc>
        <w:tc>
          <w:tcPr>
            <w:tcW w:w="320" w:type="dxa"/>
            <w:vAlign w:val="bottom"/>
            <w:tcBorders>
              <w:bottom w:val="single" w:sz="8" w:color="EEEEEE"/>
            </w:tcBorders>
          </w:tcPr>
          <w:p>
            <w:pPr>
              <w:jc w:val="right"/>
              <w:ind w:right="181"/>
              <w:spacing w:after="0"/>
              <w:rPr>
                <w:sz w:val="20"/>
                <w:szCs w:val="20"/>
                <w:color w:val="auto"/>
              </w:rPr>
            </w:pPr>
            <w:r>
              <w:rPr>
                <w:rFonts w:ascii="Arial" w:cs="Arial" w:eastAsia="Arial" w:hAnsi="Arial"/>
                <w:sz w:val="16"/>
                <w:szCs w:val="16"/>
                <w:color w:val="auto"/>
                <w:w w:val="74"/>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(669,080</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766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Cash flows from investing activities:</w:t>
            </w:r>
          </w:p>
        </w:tc>
        <w:tc>
          <w:tcPr>
            <w:tcW w:w="1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Purchase of property and equipment</w:t>
            </w:r>
          </w:p>
        </w:tc>
        <w:tc>
          <w:tcPr>
            <w:tcW w:w="190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(857,870)</w:t>
            </w:r>
          </w:p>
        </w:tc>
        <w:tc>
          <w:tcPr>
            <w:tcW w:w="1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(836,404)</w:t>
            </w:r>
          </w:p>
        </w:tc>
      </w:tr>
      <w:tr>
        <w:trPr>
          <w:trHeight w:val="216"/>
        </w:trPr>
        <w:tc>
          <w:tcPr>
            <w:tcW w:w="7660" w:type="dxa"/>
            <w:vAlign w:val="bottom"/>
          </w:tcPr>
          <w:p>
            <w:pPr>
              <w:ind w:left="180"/>
              <w:spacing w:after="0"/>
              <w:rPr>
                <w:sz w:val="20"/>
                <w:szCs w:val="20"/>
                <w:color w:val="auto"/>
              </w:rPr>
            </w:pPr>
            <w:r>
              <w:rPr>
                <w:rFonts w:ascii="Arial" w:cs="Arial" w:eastAsia="Arial" w:hAnsi="Arial"/>
                <w:sz w:val="18"/>
                <w:szCs w:val="18"/>
                <w:color w:val="auto"/>
              </w:rPr>
              <w:t>Purchase of financial assets at FVTPL</w:t>
            </w:r>
          </w:p>
        </w:tc>
        <w:tc>
          <w:tcPr>
            <w:tcW w:w="1900" w:type="dxa"/>
            <w:vAlign w:val="bottom"/>
            <w:gridSpan w:val="2"/>
          </w:tcPr>
          <w:p>
            <w:pPr>
              <w:jc w:val="right"/>
              <w:ind w:right="181"/>
              <w:spacing w:after="0"/>
              <w:rPr>
                <w:sz w:val="20"/>
                <w:szCs w:val="20"/>
                <w:color w:val="auto"/>
              </w:rPr>
            </w:pPr>
            <w:r>
              <w:rPr>
                <w:rFonts w:ascii="Arial" w:cs="Arial" w:eastAsia="Arial" w:hAnsi="Arial"/>
                <w:sz w:val="18"/>
                <w:szCs w:val="18"/>
                <w:color w:val="auto"/>
              </w:rPr>
              <w:t>(200,000)</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30"/>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cash outflow upon acquisition of a subsidiary</w:t>
            </w:r>
          </w:p>
        </w:tc>
        <w:tc>
          <w:tcPr>
            <w:tcW w:w="190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(4,292,176)</w:t>
            </w:r>
          </w:p>
        </w:tc>
      </w:tr>
      <w:tr>
        <w:trPr>
          <w:trHeight w:val="210"/>
        </w:trPr>
        <w:tc>
          <w:tcPr>
            <w:tcW w:w="7660" w:type="dxa"/>
            <w:vAlign w:val="bottom"/>
          </w:tcPr>
          <w:p>
            <w:pPr>
              <w:ind w:left="180"/>
              <w:spacing w:after="0"/>
              <w:rPr>
                <w:sz w:val="20"/>
                <w:szCs w:val="20"/>
                <w:color w:val="auto"/>
              </w:rPr>
            </w:pPr>
            <w:r>
              <w:rPr>
                <w:rFonts w:ascii="Arial" w:cs="Arial" w:eastAsia="Arial" w:hAnsi="Arial"/>
                <w:sz w:val="18"/>
                <w:szCs w:val="18"/>
                <w:color w:val="auto"/>
              </w:rPr>
              <w:t>Net cash used in investing activities from continuing operations</w:t>
            </w: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(1,057,870)</w:t>
            </w:r>
          </w:p>
        </w:tc>
        <w:tc>
          <w:tcPr>
            <w:tcW w:w="320" w:type="dxa"/>
            <w:vAlign w:val="bottom"/>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(5,128,580)</w:t>
            </w: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cash used in investing activities from discontinued operations</w:t>
            </w:r>
          </w:p>
        </w:tc>
        <w:tc>
          <w:tcPr>
            <w:tcW w:w="190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30"/>
        </w:trPr>
        <w:tc>
          <w:tcPr>
            <w:tcW w:w="766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1900" w:type="dxa"/>
            <w:vAlign w:val="bottom"/>
            <w:gridSpan w:val="2"/>
          </w:tcPr>
          <w:p>
            <w:pPr>
              <w:jc w:val="right"/>
              <w:ind w:right="181"/>
              <w:spacing w:after="0"/>
              <w:rPr>
                <w:sz w:val="20"/>
                <w:szCs w:val="20"/>
                <w:color w:val="auto"/>
              </w:rPr>
            </w:pPr>
            <w:r>
              <w:rPr>
                <w:rFonts w:ascii="Arial" w:cs="Arial" w:eastAsia="Arial" w:hAnsi="Arial"/>
                <w:sz w:val="18"/>
                <w:szCs w:val="18"/>
                <w:color w:val="auto"/>
              </w:rPr>
              <w:t>(1,057,870)</w:t>
            </w:r>
          </w:p>
        </w:tc>
        <w:tc>
          <w:tcPr>
            <w:tcW w:w="1680" w:type="dxa"/>
            <w:vAlign w:val="bottom"/>
            <w:gridSpan w:val="2"/>
          </w:tcPr>
          <w:p>
            <w:pPr>
              <w:jc w:val="right"/>
              <w:spacing w:after="0"/>
              <w:rPr>
                <w:sz w:val="20"/>
                <w:szCs w:val="20"/>
                <w:color w:val="auto"/>
              </w:rPr>
            </w:pPr>
            <w:r>
              <w:rPr>
                <w:rFonts w:ascii="Arial" w:cs="Arial" w:eastAsia="Arial" w:hAnsi="Arial"/>
                <w:sz w:val="18"/>
                <w:szCs w:val="18"/>
                <w:color w:val="auto"/>
              </w:rPr>
              <w:t>(5,128,580)</w:t>
            </w:r>
          </w:p>
        </w:tc>
      </w:tr>
      <w:tr>
        <w:trPr>
          <w:trHeight w:val="210"/>
        </w:trPr>
        <w:tc>
          <w:tcPr>
            <w:tcW w:w="7660" w:type="dxa"/>
            <w:vAlign w:val="bottom"/>
            <w:tcBorders>
              <w:top w:val="single" w:sz="8" w:color="EEEEEE"/>
            </w:tcBorders>
            <w:shd w:val="clear" w:color="auto" w:fill="EEEEEE"/>
          </w:tcPr>
          <w:p>
            <w:pPr>
              <w:spacing w:after="0"/>
              <w:rPr>
                <w:sz w:val="18"/>
                <w:szCs w:val="18"/>
                <w:color w:val="auto"/>
              </w:rPr>
            </w:pPr>
          </w:p>
        </w:tc>
        <w:tc>
          <w:tcPr>
            <w:tcW w:w="1580" w:type="dxa"/>
            <w:vAlign w:val="bottom"/>
            <w:tcBorders>
              <w:top w:val="single" w:sz="8" w:color="auto"/>
            </w:tcBorders>
            <w:shd w:val="clear" w:color="auto" w:fill="EEEEEE"/>
          </w:tcPr>
          <w:p>
            <w:pPr>
              <w:spacing w:after="0"/>
              <w:rPr>
                <w:sz w:val="18"/>
                <w:szCs w:val="18"/>
                <w:color w:val="auto"/>
              </w:rPr>
            </w:pPr>
          </w:p>
        </w:tc>
        <w:tc>
          <w:tcPr>
            <w:tcW w:w="320" w:type="dxa"/>
            <w:vAlign w:val="bottom"/>
            <w:tcBorders>
              <w:top w:val="single" w:sz="8" w:color="EEEEEE"/>
            </w:tcBorders>
            <w:shd w:val="clear" w:color="auto" w:fill="EEEEEE"/>
          </w:tcPr>
          <w:p>
            <w:pPr>
              <w:spacing w:after="0"/>
              <w:rPr>
                <w:sz w:val="18"/>
                <w:szCs w:val="18"/>
                <w:color w:val="auto"/>
              </w:rPr>
            </w:pPr>
          </w:p>
        </w:tc>
        <w:tc>
          <w:tcPr>
            <w:tcW w:w="1580" w:type="dxa"/>
            <w:vAlign w:val="bottom"/>
            <w:tcBorders>
              <w:top w:val="single" w:sz="8" w:color="auto"/>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Cash flows from financing activities:</w:t>
            </w:r>
          </w:p>
        </w:tc>
        <w:tc>
          <w:tcPr>
            <w:tcW w:w="1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Bank borrowing</w:t>
            </w:r>
          </w:p>
        </w:tc>
        <w:tc>
          <w:tcPr>
            <w:tcW w:w="190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(122,507)</w:t>
            </w:r>
          </w:p>
        </w:tc>
        <w:tc>
          <w:tcPr>
            <w:tcW w:w="1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(52,906)</w:t>
            </w:r>
          </w:p>
        </w:tc>
      </w:tr>
      <w:tr>
        <w:trPr>
          <w:trHeight w:val="230"/>
        </w:trPr>
        <w:tc>
          <w:tcPr>
            <w:tcW w:w="7660" w:type="dxa"/>
            <w:vAlign w:val="bottom"/>
          </w:tcPr>
          <w:p>
            <w:pPr>
              <w:ind w:left="180"/>
              <w:spacing w:after="0"/>
              <w:rPr>
                <w:sz w:val="20"/>
                <w:szCs w:val="20"/>
                <w:color w:val="auto"/>
              </w:rPr>
            </w:pPr>
            <w:r>
              <w:rPr>
                <w:rFonts w:ascii="Arial" w:cs="Arial" w:eastAsia="Arial" w:hAnsi="Arial"/>
                <w:sz w:val="18"/>
                <w:szCs w:val="18"/>
                <w:color w:val="auto"/>
              </w:rPr>
              <w:t>Proceeds from issuance of common stock</w:t>
            </w:r>
          </w:p>
        </w:tc>
        <w:tc>
          <w:tcPr>
            <w:tcW w:w="1900" w:type="dxa"/>
            <w:vAlign w:val="bottom"/>
            <w:gridSpan w:val="2"/>
          </w:tcPr>
          <w:p>
            <w:pPr>
              <w:jc w:val="right"/>
              <w:ind w:right="241"/>
              <w:spacing w:after="0"/>
              <w:rPr>
                <w:sz w:val="20"/>
                <w:szCs w:val="20"/>
                <w:color w:val="auto"/>
              </w:rPr>
            </w:pPr>
            <w:r>
              <w:rPr>
                <w:rFonts w:ascii="Arial" w:cs="Arial" w:eastAsia="Arial" w:hAnsi="Arial"/>
                <w:sz w:val="18"/>
                <w:szCs w:val="18"/>
                <w:color w:val="auto"/>
              </w:rPr>
              <w:t>626,987</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5,664,244</w:t>
            </w:r>
          </w:p>
        </w:tc>
      </w:tr>
      <w:tr>
        <w:trPr>
          <w:trHeight w:val="210"/>
        </w:trPr>
        <w:tc>
          <w:tcPr>
            <w:tcW w:w="7660" w:type="dxa"/>
            <w:vAlign w:val="bottom"/>
            <w:tcBorders>
              <w:top w:val="single" w:sz="8" w:color="EEEEEE"/>
            </w:tcBorders>
            <w:shd w:val="clear" w:color="auto" w:fill="EEEEEE"/>
          </w:tcPr>
          <w:p>
            <w:pPr>
              <w:ind w:left="180"/>
              <w:spacing w:after="0"/>
              <w:rPr>
                <w:sz w:val="20"/>
                <w:szCs w:val="20"/>
                <w:color w:val="auto"/>
              </w:rPr>
            </w:pPr>
            <w:r>
              <w:rPr>
                <w:rFonts w:ascii="Arial" w:cs="Arial" w:eastAsia="Arial" w:hAnsi="Arial"/>
                <w:sz w:val="18"/>
                <w:szCs w:val="18"/>
                <w:color w:val="auto"/>
              </w:rPr>
              <w:t>Net cash used in financing activities from continuing operations</w:t>
            </w: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504,480</w:t>
            </w:r>
          </w:p>
        </w:tc>
        <w:tc>
          <w:tcPr>
            <w:tcW w:w="320" w:type="dxa"/>
            <w:vAlign w:val="bottom"/>
            <w:tcBorders>
              <w:top w:val="single" w:sz="8" w:color="EEEEEE"/>
            </w:tcBorders>
            <w:shd w:val="clear" w:color="auto" w:fill="EEEEEE"/>
          </w:tcPr>
          <w:p>
            <w:pPr>
              <w:spacing w:after="0"/>
              <w:rPr>
                <w:sz w:val="18"/>
                <w:szCs w:val="18"/>
                <w:color w:val="auto"/>
              </w:rPr>
            </w:pP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5,611,338</w:t>
            </w:r>
          </w:p>
        </w:tc>
        <w:tc>
          <w:tcPr>
            <w:tcW w:w="100" w:type="dxa"/>
            <w:vAlign w:val="bottom"/>
            <w:tcBorders>
              <w:top w:val="single" w:sz="8" w:color="EEEEEE"/>
            </w:tcBorders>
            <w:shd w:val="clear" w:color="auto" w:fill="EEEEEE"/>
          </w:tcPr>
          <w:p>
            <w:pPr>
              <w:spacing w:after="0"/>
              <w:rPr>
                <w:sz w:val="18"/>
                <w:szCs w:val="18"/>
                <w:color w:val="auto"/>
              </w:rPr>
            </w:pPr>
          </w:p>
        </w:tc>
      </w:tr>
      <w:tr>
        <w:trPr>
          <w:trHeight w:val="229"/>
        </w:trPr>
        <w:tc>
          <w:tcPr>
            <w:tcW w:w="7660" w:type="dxa"/>
            <w:vAlign w:val="bottom"/>
          </w:tcPr>
          <w:p>
            <w:pPr>
              <w:ind w:left="180"/>
              <w:spacing w:after="0"/>
              <w:rPr>
                <w:sz w:val="20"/>
                <w:szCs w:val="20"/>
                <w:color w:val="auto"/>
              </w:rPr>
            </w:pPr>
            <w:r>
              <w:rPr>
                <w:rFonts w:ascii="Arial" w:cs="Arial" w:eastAsia="Arial" w:hAnsi="Arial"/>
                <w:sz w:val="18"/>
                <w:szCs w:val="18"/>
                <w:color w:val="auto"/>
              </w:rPr>
              <w:t>Net cash used in financing activities from discontinued operations</w:t>
            </w:r>
          </w:p>
        </w:tc>
        <w:tc>
          <w:tcPr>
            <w:tcW w:w="190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0"/>
        </w:trPr>
        <w:tc>
          <w:tcPr>
            <w:tcW w:w="76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Net cash used in financing activities</w:t>
            </w: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504,480</w:t>
            </w:r>
          </w:p>
        </w:tc>
        <w:tc>
          <w:tcPr>
            <w:tcW w:w="320" w:type="dxa"/>
            <w:vAlign w:val="bottom"/>
            <w:tcBorders>
              <w:top w:val="single" w:sz="8" w:color="EEEEEE"/>
            </w:tcBorders>
            <w:shd w:val="clear" w:color="auto" w:fill="EEEEEE"/>
          </w:tcPr>
          <w:p>
            <w:pPr>
              <w:spacing w:after="0"/>
              <w:rPr>
                <w:sz w:val="18"/>
                <w:szCs w:val="18"/>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5,611,338</w:t>
            </w:r>
          </w:p>
        </w:tc>
        <w:tc>
          <w:tcPr>
            <w:tcW w:w="100" w:type="dxa"/>
            <w:vAlign w:val="bottom"/>
            <w:tcBorders>
              <w:top w:val="single" w:sz="8" w:color="EEEEEE"/>
            </w:tcBorders>
            <w:shd w:val="clear" w:color="auto" w:fill="EEEEEE"/>
          </w:tcPr>
          <w:p>
            <w:pPr>
              <w:spacing w:after="0"/>
              <w:rPr>
                <w:sz w:val="18"/>
                <w:szCs w:val="18"/>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right"/>
        <w:spacing w:after="0"/>
        <w:rPr>
          <w:sz w:val="20"/>
          <w:szCs w:val="20"/>
          <w:color w:val="auto"/>
        </w:rPr>
      </w:pPr>
      <w:r>
        <w:rPr>
          <w:rFonts w:ascii="Arial" w:cs="Arial" w:eastAsia="Arial" w:hAnsi="Arial"/>
          <w:sz w:val="22"/>
          <w:szCs w:val="22"/>
          <w:color w:val="auto"/>
        </w:rPr>
        <w:t>(continued)</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30"/>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Effect of exchange rate changes on cash and cash equivalents</w:t>
            </w:r>
          </w:p>
        </w:tc>
        <w:tc>
          <w:tcPr>
            <w:tcW w:w="190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(19,342)</w:t>
            </w:r>
          </w:p>
        </w:tc>
        <w:tc>
          <w:tcPr>
            <w:tcW w:w="168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(54,095)</w:t>
            </w:r>
          </w:p>
        </w:tc>
      </w:tr>
      <w:tr>
        <w:trPr>
          <w:trHeight w:val="209"/>
        </w:trPr>
        <w:tc>
          <w:tcPr>
            <w:tcW w:w="766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Increase in cash and cash equivalents from continuing operations</w:t>
            </w:r>
          </w:p>
        </w:tc>
        <w:tc>
          <w:tcPr>
            <w:tcW w:w="190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(1,624,816)</w:t>
            </w:r>
          </w:p>
        </w:tc>
        <w:tc>
          <w:tcPr>
            <w:tcW w:w="168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(2,003,289)</w:t>
            </w:r>
          </w:p>
        </w:tc>
      </w:tr>
      <w:tr>
        <w:trPr>
          <w:trHeight w:val="230"/>
        </w:trPr>
        <w:tc>
          <w:tcPr>
            <w:tcW w:w="7660" w:type="dxa"/>
            <w:vAlign w:val="bottom"/>
          </w:tcPr>
          <w:p>
            <w:pPr>
              <w:spacing w:after="0"/>
              <w:rPr>
                <w:sz w:val="20"/>
                <w:szCs w:val="20"/>
                <w:color w:val="auto"/>
              </w:rPr>
            </w:pPr>
            <w:r>
              <w:rPr>
                <w:rFonts w:ascii="Arial" w:cs="Arial" w:eastAsia="Arial" w:hAnsi="Arial"/>
                <w:sz w:val="18"/>
                <w:szCs w:val="18"/>
                <w:color w:val="auto"/>
              </w:rPr>
              <w:t>Decrease in cash and cash equivalents from discontinued operations</w:t>
            </w:r>
          </w:p>
        </w:tc>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1,816,967</w:t>
            </w:r>
          </w:p>
        </w:tc>
      </w:tr>
      <w:tr>
        <w:trPr>
          <w:trHeight w:val="209"/>
        </w:trPr>
        <w:tc>
          <w:tcPr>
            <w:tcW w:w="76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Net decrease in cash and cash equivalents</w:t>
            </w: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(1,624,816)</w:t>
            </w:r>
          </w:p>
        </w:tc>
        <w:tc>
          <w:tcPr>
            <w:tcW w:w="320" w:type="dxa"/>
            <w:vAlign w:val="bottom"/>
            <w:tcBorders>
              <w:top w:val="single" w:sz="8" w:color="EEEEEE"/>
            </w:tcBorders>
            <w:shd w:val="clear" w:color="auto" w:fill="EEEEEE"/>
          </w:tcPr>
          <w:p>
            <w:pPr>
              <w:spacing w:after="0"/>
              <w:rPr>
                <w:sz w:val="18"/>
                <w:szCs w:val="18"/>
                <w:color w:val="auto"/>
              </w:rPr>
            </w:pPr>
          </w:p>
        </w:tc>
        <w:tc>
          <w:tcPr>
            <w:tcW w:w="15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(240,417)</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76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Cash and cash equivalents from continuing operations, beginning of year</w:t>
            </w:r>
          </w:p>
        </w:tc>
        <w:tc>
          <w:tcPr>
            <w:tcW w:w="19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2,906,074</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2,103,677</w:t>
            </w:r>
          </w:p>
        </w:tc>
      </w:tr>
      <w:tr>
        <w:trPr>
          <w:trHeight w:val="230"/>
        </w:trPr>
        <w:tc>
          <w:tcPr>
            <w:tcW w:w="7660" w:type="dxa"/>
            <w:vAlign w:val="bottom"/>
          </w:tcPr>
          <w:p>
            <w:pPr>
              <w:spacing w:after="0"/>
              <w:rPr>
                <w:sz w:val="20"/>
                <w:szCs w:val="20"/>
                <w:color w:val="auto"/>
              </w:rPr>
            </w:pPr>
            <w:r>
              <w:rPr>
                <w:rFonts w:ascii="Arial" w:cs="Arial" w:eastAsia="Arial" w:hAnsi="Arial"/>
                <w:sz w:val="18"/>
                <w:szCs w:val="18"/>
                <w:color w:val="auto"/>
              </w:rPr>
              <w:t>Cash and cash equivalents from discontinued operations, beginning of year</w:t>
            </w:r>
          </w:p>
        </w:tc>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340,332</w:t>
            </w:r>
          </w:p>
        </w:tc>
      </w:tr>
      <w:tr>
        <w:trPr>
          <w:trHeight w:val="209"/>
        </w:trPr>
        <w:tc>
          <w:tcPr>
            <w:tcW w:w="76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Cash and cash equivalents at beginning of year</w:t>
            </w: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2,906,074</w:t>
            </w:r>
          </w:p>
        </w:tc>
        <w:tc>
          <w:tcPr>
            <w:tcW w:w="320" w:type="dxa"/>
            <w:vAlign w:val="bottom"/>
            <w:tcBorders>
              <w:top w:val="single" w:sz="8" w:color="EEEEEE"/>
            </w:tcBorders>
            <w:shd w:val="clear" w:color="auto" w:fill="EEEEEE"/>
          </w:tcPr>
          <w:p>
            <w:pPr>
              <w:spacing w:after="0"/>
              <w:rPr>
                <w:sz w:val="18"/>
                <w:szCs w:val="18"/>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2,444,009</w:t>
            </w:r>
          </w:p>
        </w:tc>
        <w:tc>
          <w:tcPr>
            <w:tcW w:w="100" w:type="dxa"/>
            <w:vAlign w:val="bottom"/>
            <w:tcBorders>
              <w:top w:val="single" w:sz="8" w:color="EEEEEE"/>
            </w:tcBorders>
            <w:shd w:val="clear" w:color="auto" w:fill="EEEEEE"/>
          </w:tcPr>
          <w:p>
            <w:pPr>
              <w:spacing w:after="0"/>
              <w:rPr>
                <w:sz w:val="18"/>
                <w:szCs w:val="18"/>
                <w:color w:val="auto"/>
              </w:rPr>
            </w:pPr>
          </w:p>
        </w:tc>
      </w:tr>
      <w:tr>
        <w:trPr>
          <w:trHeight w:val="210"/>
        </w:trPr>
        <w:tc>
          <w:tcPr>
            <w:tcW w:w="76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Cash and cash equivalents from continuing operations, end of year</w:t>
            </w:r>
          </w:p>
        </w:tc>
        <w:tc>
          <w:tcPr>
            <w:tcW w:w="19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1,281,258</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2,158,052</w:t>
            </w:r>
          </w:p>
        </w:tc>
      </w:tr>
      <w:tr>
        <w:trPr>
          <w:trHeight w:val="229"/>
        </w:trPr>
        <w:tc>
          <w:tcPr>
            <w:tcW w:w="7660" w:type="dxa"/>
            <w:vAlign w:val="bottom"/>
          </w:tcPr>
          <w:p>
            <w:pPr>
              <w:spacing w:after="0"/>
              <w:rPr>
                <w:sz w:val="20"/>
                <w:szCs w:val="20"/>
                <w:color w:val="auto"/>
              </w:rPr>
            </w:pPr>
            <w:r>
              <w:rPr>
                <w:rFonts w:ascii="Arial" w:cs="Arial" w:eastAsia="Arial" w:hAnsi="Arial"/>
                <w:sz w:val="18"/>
                <w:szCs w:val="18"/>
                <w:color w:val="auto"/>
              </w:rPr>
              <w:t>Cash and cash equivalents from discontinued operations, end of year</w:t>
            </w:r>
          </w:p>
        </w:tc>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45,540</w:t>
            </w:r>
          </w:p>
        </w:tc>
      </w:tr>
      <w:tr>
        <w:trPr>
          <w:trHeight w:val="223"/>
        </w:trPr>
        <w:tc>
          <w:tcPr>
            <w:tcW w:w="766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Cash and cash equivalents at end of year</w:t>
            </w: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1,281,258</w:t>
            </w:r>
          </w:p>
        </w:tc>
        <w:tc>
          <w:tcPr>
            <w:tcW w:w="320" w:type="dxa"/>
            <w:vAlign w:val="bottom"/>
            <w:tcBorders>
              <w:top w:val="single" w:sz="8" w:color="EEEEEE"/>
              <w:bottom w:val="single" w:sz="8" w:color="EEEEEE"/>
            </w:tcBorders>
            <w:shd w:val="clear" w:color="auto" w:fill="EEEEEE"/>
          </w:tcPr>
          <w:p>
            <w:pPr>
              <w:spacing w:after="0"/>
              <w:rPr>
                <w:sz w:val="19"/>
                <w:szCs w:val="19"/>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2,203,592</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66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766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Cash and cash equivalents at beginning of period</w:t>
            </w:r>
          </w:p>
        </w:tc>
        <w:tc>
          <w:tcPr>
            <w:tcW w:w="19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2,906,074</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2,444,009</w:t>
            </w:r>
          </w:p>
        </w:tc>
      </w:tr>
      <w:tr>
        <w:trPr>
          <w:trHeight w:val="230"/>
        </w:trPr>
        <w:tc>
          <w:tcPr>
            <w:tcW w:w="7660" w:type="dxa"/>
            <w:vAlign w:val="bottom"/>
          </w:tcPr>
          <w:p>
            <w:pPr>
              <w:spacing w:after="0"/>
              <w:rPr>
                <w:sz w:val="20"/>
                <w:szCs w:val="20"/>
                <w:color w:val="auto"/>
              </w:rPr>
            </w:pPr>
            <w:r>
              <w:rPr>
                <w:rFonts w:ascii="Arial" w:cs="Arial" w:eastAsia="Arial" w:hAnsi="Arial"/>
                <w:sz w:val="18"/>
                <w:szCs w:val="18"/>
                <w:color w:val="auto"/>
              </w:rPr>
              <w:t>Cash and cash equivalents at end of period</w:t>
            </w:r>
          </w:p>
        </w:tc>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1,281,258</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2,203,592</w:t>
            </w:r>
          </w:p>
        </w:tc>
      </w:tr>
    </w:tbl>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84"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STATEMENTS OF CHANGES IN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Number of Shares)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1000" w:type="dxa"/>
            <w:vAlign w:val="bottom"/>
            <w:gridSpan w:val="2"/>
          </w:tcPr>
          <w:p>
            <w:pPr>
              <w:jc w:val="right"/>
              <w:ind w:right="460"/>
              <w:spacing w:after="0"/>
              <w:rPr>
                <w:sz w:val="20"/>
                <w:szCs w:val="20"/>
                <w:color w:val="auto"/>
              </w:rPr>
            </w:pPr>
            <w:r>
              <w:rPr>
                <w:rFonts w:ascii="Arial" w:cs="Arial" w:eastAsia="Arial" w:hAnsi="Arial"/>
                <w:sz w:val="14"/>
                <w:szCs w:val="14"/>
                <w:color w:val="auto"/>
              </w:rPr>
              <w:t>Total</w:t>
            </w:r>
          </w:p>
        </w:tc>
        <w:tc>
          <w:tcPr>
            <w:tcW w:w="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1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gridSpan w:val="2"/>
          </w:tcPr>
          <w:p>
            <w:pPr>
              <w:jc w:val="center"/>
              <w:ind w:right="180"/>
              <w:spacing w:after="0" w:line="149" w:lineRule="exact"/>
              <w:rPr>
                <w:sz w:val="20"/>
                <w:szCs w:val="20"/>
                <w:color w:val="auto"/>
              </w:rPr>
            </w:pPr>
            <w:r>
              <w:rPr>
                <w:rFonts w:ascii="Arial" w:cs="Arial" w:eastAsia="Arial" w:hAnsi="Arial"/>
                <w:sz w:val="14"/>
                <w:szCs w:val="14"/>
                <w:color w:val="auto"/>
                <w:w w:val="92"/>
              </w:rPr>
              <w:t>Statutory</w:t>
            </w:r>
          </w:p>
        </w:tc>
        <w:tc>
          <w:tcPr>
            <w:tcW w:w="8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gridSpan w:val="2"/>
          </w:tcPr>
          <w:p>
            <w:pPr>
              <w:jc w:val="center"/>
              <w:ind w:right="180"/>
              <w:spacing w:after="0" w:line="149" w:lineRule="exact"/>
              <w:rPr>
                <w:sz w:val="20"/>
                <w:szCs w:val="20"/>
                <w:color w:val="auto"/>
              </w:rPr>
            </w:pPr>
            <w:r>
              <w:rPr>
                <w:rFonts w:ascii="Arial" w:cs="Arial" w:eastAsia="Arial" w:hAnsi="Arial"/>
                <w:sz w:val="14"/>
                <w:szCs w:val="14"/>
                <w:color w:val="auto"/>
                <w:w w:val="96"/>
              </w:rPr>
              <w:t>Accumulated</w:t>
            </w:r>
          </w:p>
        </w:tc>
        <w:tc>
          <w:tcPr>
            <w:tcW w:w="1000" w:type="dxa"/>
            <w:vAlign w:val="bottom"/>
            <w:gridSpan w:val="2"/>
          </w:tcPr>
          <w:p>
            <w:pPr>
              <w:jc w:val="center"/>
              <w:ind w:right="180"/>
              <w:spacing w:after="0" w:line="149" w:lineRule="exact"/>
              <w:rPr>
                <w:sz w:val="20"/>
                <w:szCs w:val="20"/>
                <w:color w:val="auto"/>
              </w:rPr>
            </w:pPr>
            <w:r>
              <w:rPr>
                <w:rFonts w:ascii="Arial" w:cs="Arial" w:eastAsia="Arial" w:hAnsi="Arial"/>
                <w:sz w:val="14"/>
                <w:szCs w:val="14"/>
                <w:color w:val="auto"/>
                <w:w w:val="95"/>
              </w:rPr>
              <w:t>Nocera Inc.’s</w:t>
            </w: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89"/>
              </w:rPr>
              <w:t>Total</w:t>
            </w:r>
          </w:p>
        </w:tc>
        <w:tc>
          <w:tcPr>
            <w:tcW w:w="0" w:type="dxa"/>
            <w:vAlign w:val="bottom"/>
          </w:tcPr>
          <w:p>
            <w:pPr>
              <w:spacing w:after="0"/>
              <w:rPr>
                <w:sz w:val="1"/>
                <w:szCs w:val="1"/>
                <w:color w:val="auto"/>
              </w:rPr>
            </w:pPr>
          </w:p>
        </w:tc>
      </w:tr>
      <w:tr>
        <w:trPr>
          <w:trHeight w:val="148"/>
        </w:trPr>
        <w:tc>
          <w:tcPr>
            <w:tcW w:w="13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center"/>
              <w:ind w:right="200"/>
              <w:spacing w:after="0" w:line="149" w:lineRule="exact"/>
              <w:rPr>
                <w:sz w:val="20"/>
                <w:szCs w:val="20"/>
                <w:color w:val="auto"/>
              </w:rPr>
            </w:pPr>
            <w:r>
              <w:rPr>
                <w:rFonts w:ascii="Arial" w:cs="Arial" w:eastAsia="Arial" w:hAnsi="Arial"/>
                <w:sz w:val="14"/>
                <w:szCs w:val="14"/>
                <w:color w:val="auto"/>
              </w:rPr>
              <w:t>Additional</w:t>
            </w:r>
          </w:p>
        </w:tc>
        <w:tc>
          <w:tcPr>
            <w:tcW w:w="820" w:type="dxa"/>
            <w:vAlign w:val="bottom"/>
            <w:gridSpan w:val="2"/>
          </w:tcPr>
          <w:p>
            <w:pPr>
              <w:ind w:left="200"/>
              <w:spacing w:after="0" w:line="149" w:lineRule="exact"/>
              <w:rPr>
                <w:sz w:val="20"/>
                <w:szCs w:val="20"/>
                <w:color w:val="auto"/>
              </w:rPr>
            </w:pPr>
            <w:r>
              <w:rPr>
                <w:rFonts w:ascii="Arial" w:cs="Arial" w:eastAsia="Arial" w:hAnsi="Arial"/>
                <w:sz w:val="14"/>
                <w:szCs w:val="14"/>
                <w:color w:val="auto"/>
              </w:rPr>
              <w:t>and</w:t>
            </w:r>
          </w:p>
        </w:tc>
        <w:tc>
          <w:tcPr>
            <w:tcW w:w="8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1080" w:type="dxa"/>
            <w:vAlign w:val="bottom"/>
            <w:gridSpan w:val="2"/>
          </w:tcPr>
          <w:p>
            <w:pPr>
              <w:jc w:val="center"/>
              <w:ind w:right="180"/>
              <w:spacing w:after="0" w:line="149" w:lineRule="exact"/>
              <w:rPr>
                <w:sz w:val="20"/>
                <w:szCs w:val="20"/>
                <w:color w:val="auto"/>
              </w:rPr>
            </w:pPr>
            <w:r>
              <w:rPr>
                <w:rFonts w:ascii="Arial" w:cs="Arial" w:eastAsia="Arial" w:hAnsi="Arial"/>
                <w:sz w:val="14"/>
                <w:szCs w:val="14"/>
                <w:color w:val="auto"/>
                <w:w w:val="96"/>
              </w:rPr>
              <w:t>Other</w:t>
            </w:r>
          </w:p>
        </w:tc>
        <w:tc>
          <w:tcPr>
            <w:tcW w:w="1000" w:type="dxa"/>
            <w:vAlign w:val="bottom"/>
            <w:gridSpan w:val="2"/>
          </w:tcPr>
          <w:p>
            <w:pPr>
              <w:jc w:val="center"/>
              <w:ind w:right="160"/>
              <w:spacing w:after="0" w:line="149" w:lineRule="exact"/>
              <w:rPr>
                <w:sz w:val="20"/>
                <w:szCs w:val="20"/>
                <w:color w:val="auto"/>
              </w:rPr>
            </w:pPr>
            <w:r>
              <w:rPr>
                <w:rFonts w:ascii="Arial" w:cs="Arial" w:eastAsia="Arial" w:hAnsi="Arial"/>
                <w:sz w:val="14"/>
                <w:szCs w:val="14"/>
                <w:color w:val="auto"/>
                <w:w w:val="95"/>
              </w:rPr>
              <w:t>Stockholders’</w:t>
            </w:r>
          </w:p>
        </w:tc>
        <w:tc>
          <w:tcPr>
            <w:tcW w:w="860" w:type="dxa"/>
            <w:vAlign w:val="bottom"/>
            <w:gridSpan w:val="2"/>
          </w:tcPr>
          <w:p>
            <w:pPr>
              <w:jc w:val="center"/>
              <w:ind w:right="200"/>
              <w:spacing w:after="0" w:line="149" w:lineRule="exact"/>
              <w:rPr>
                <w:sz w:val="20"/>
                <w:szCs w:val="20"/>
                <w:color w:val="auto"/>
              </w:rPr>
            </w:pPr>
            <w:r>
              <w:rPr>
                <w:rFonts w:ascii="Arial" w:cs="Arial" w:eastAsia="Arial" w:hAnsi="Arial"/>
                <w:sz w:val="14"/>
                <w:szCs w:val="14"/>
                <w:color w:val="auto"/>
                <w:w w:val="98"/>
              </w:rPr>
              <w:t>Non-</w:t>
            </w:r>
          </w:p>
        </w:tc>
        <w:tc>
          <w:tcPr>
            <w:tcW w:w="90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5"/>
              </w:rPr>
              <w:t>Stockholders’</w:t>
            </w:r>
          </w:p>
        </w:tc>
        <w:tc>
          <w:tcPr>
            <w:tcW w:w="0" w:type="dxa"/>
            <w:vAlign w:val="bottom"/>
          </w:tcPr>
          <w:p>
            <w:pPr>
              <w:spacing w:after="0"/>
              <w:rPr>
                <w:sz w:val="1"/>
                <w:szCs w:val="1"/>
                <w:color w:val="auto"/>
              </w:rPr>
            </w:pPr>
          </w:p>
        </w:tc>
      </w:tr>
      <w:tr>
        <w:trPr>
          <w:trHeight w:val="181"/>
        </w:trPr>
        <w:tc>
          <w:tcPr>
            <w:tcW w:w="1300" w:type="dxa"/>
            <w:vAlign w:val="bottom"/>
          </w:tcPr>
          <w:p>
            <w:pPr>
              <w:spacing w:after="0"/>
              <w:rPr>
                <w:sz w:val="15"/>
                <w:szCs w:val="15"/>
                <w:color w:val="auto"/>
              </w:rPr>
            </w:pPr>
          </w:p>
        </w:tc>
        <w:tc>
          <w:tcPr>
            <w:tcW w:w="1680" w:type="dxa"/>
            <w:vAlign w:val="bottom"/>
            <w:gridSpan w:val="4"/>
          </w:tcPr>
          <w:p>
            <w:pPr>
              <w:ind w:left="300"/>
              <w:spacing w:after="0"/>
              <w:rPr>
                <w:sz w:val="20"/>
                <w:szCs w:val="20"/>
                <w:color w:val="auto"/>
              </w:rPr>
            </w:pPr>
            <w:r>
              <w:rPr>
                <w:rFonts w:ascii="Arial" w:cs="Arial" w:eastAsia="Arial" w:hAnsi="Arial"/>
                <w:sz w:val="14"/>
                <w:szCs w:val="14"/>
                <w:color w:val="auto"/>
              </w:rPr>
              <w:t>Common Stock</w:t>
            </w:r>
          </w:p>
        </w:tc>
        <w:tc>
          <w:tcPr>
            <w:tcW w:w="1680" w:type="dxa"/>
            <w:vAlign w:val="bottom"/>
            <w:gridSpan w:val="4"/>
          </w:tcPr>
          <w:p>
            <w:pPr>
              <w:ind w:left="320"/>
              <w:spacing w:after="0"/>
              <w:rPr>
                <w:sz w:val="20"/>
                <w:szCs w:val="20"/>
                <w:color w:val="auto"/>
              </w:rPr>
            </w:pPr>
            <w:r>
              <w:rPr>
                <w:rFonts w:ascii="Arial" w:cs="Arial" w:eastAsia="Arial" w:hAnsi="Arial"/>
                <w:sz w:val="14"/>
                <w:szCs w:val="14"/>
                <w:color w:val="auto"/>
              </w:rPr>
              <w:t>Preferred stock</w:t>
            </w:r>
          </w:p>
        </w:tc>
        <w:tc>
          <w:tcPr>
            <w:tcW w:w="940" w:type="dxa"/>
            <w:vAlign w:val="bottom"/>
            <w:gridSpan w:val="2"/>
          </w:tcPr>
          <w:p>
            <w:pPr>
              <w:jc w:val="center"/>
              <w:ind w:right="200"/>
              <w:spacing w:after="0"/>
              <w:rPr>
                <w:sz w:val="20"/>
                <w:szCs w:val="20"/>
                <w:color w:val="auto"/>
              </w:rPr>
            </w:pPr>
            <w:r>
              <w:rPr>
                <w:rFonts w:ascii="Arial" w:cs="Arial" w:eastAsia="Arial" w:hAnsi="Arial"/>
                <w:sz w:val="14"/>
                <w:szCs w:val="14"/>
                <w:color w:val="auto"/>
                <w:w w:val="96"/>
              </w:rPr>
              <w:t>Paid-in</w:t>
            </w:r>
          </w:p>
        </w:tc>
        <w:tc>
          <w:tcPr>
            <w:tcW w:w="820" w:type="dxa"/>
            <w:vAlign w:val="bottom"/>
            <w:gridSpan w:val="2"/>
          </w:tcPr>
          <w:p>
            <w:pPr>
              <w:jc w:val="center"/>
              <w:ind w:right="200"/>
              <w:spacing w:after="0"/>
              <w:rPr>
                <w:sz w:val="20"/>
                <w:szCs w:val="20"/>
                <w:color w:val="auto"/>
              </w:rPr>
            </w:pPr>
            <w:r>
              <w:rPr>
                <w:rFonts w:ascii="Arial" w:cs="Arial" w:eastAsia="Arial" w:hAnsi="Arial"/>
                <w:sz w:val="14"/>
                <w:szCs w:val="14"/>
                <w:color w:val="auto"/>
                <w:w w:val="93"/>
              </w:rPr>
              <w:t>other</w:t>
            </w:r>
          </w:p>
        </w:tc>
        <w:tc>
          <w:tcPr>
            <w:tcW w:w="980" w:type="dxa"/>
            <w:vAlign w:val="bottom"/>
            <w:gridSpan w:val="2"/>
          </w:tcPr>
          <w:p>
            <w:pPr>
              <w:jc w:val="center"/>
              <w:ind w:right="180"/>
              <w:spacing w:after="0"/>
              <w:rPr>
                <w:sz w:val="20"/>
                <w:szCs w:val="20"/>
                <w:color w:val="auto"/>
              </w:rPr>
            </w:pPr>
            <w:r>
              <w:rPr>
                <w:rFonts w:ascii="Arial" w:cs="Arial" w:eastAsia="Arial" w:hAnsi="Arial"/>
                <w:sz w:val="14"/>
                <w:szCs w:val="14"/>
                <w:color w:val="auto"/>
                <w:w w:val="92"/>
              </w:rPr>
              <w:t>Retained</w:t>
            </w:r>
          </w:p>
        </w:tc>
        <w:tc>
          <w:tcPr>
            <w:tcW w:w="1080" w:type="dxa"/>
            <w:vAlign w:val="bottom"/>
            <w:gridSpan w:val="2"/>
          </w:tcPr>
          <w:p>
            <w:pPr>
              <w:jc w:val="center"/>
              <w:ind w:right="180"/>
              <w:spacing w:after="0"/>
              <w:rPr>
                <w:sz w:val="20"/>
                <w:szCs w:val="20"/>
                <w:color w:val="auto"/>
              </w:rPr>
            </w:pPr>
            <w:r>
              <w:rPr>
                <w:rFonts w:ascii="Arial" w:cs="Arial" w:eastAsia="Arial" w:hAnsi="Arial"/>
                <w:sz w:val="14"/>
                <w:szCs w:val="14"/>
                <w:color w:val="auto"/>
                <w:w w:val="91"/>
              </w:rPr>
              <w:t>Comprehensive</w:t>
            </w:r>
          </w:p>
        </w:tc>
        <w:tc>
          <w:tcPr>
            <w:tcW w:w="1000" w:type="dxa"/>
            <w:vAlign w:val="bottom"/>
            <w:gridSpan w:val="2"/>
          </w:tcPr>
          <w:p>
            <w:pPr>
              <w:jc w:val="center"/>
              <w:ind w:right="180"/>
              <w:spacing w:after="0"/>
              <w:rPr>
                <w:sz w:val="20"/>
                <w:szCs w:val="20"/>
                <w:color w:val="auto"/>
              </w:rPr>
            </w:pPr>
            <w:r>
              <w:rPr>
                <w:rFonts w:ascii="Arial" w:cs="Arial" w:eastAsia="Arial" w:hAnsi="Arial"/>
                <w:sz w:val="14"/>
                <w:szCs w:val="14"/>
                <w:color w:val="auto"/>
                <w:w w:val="97"/>
              </w:rPr>
              <w:t>Equity</w:t>
            </w:r>
          </w:p>
        </w:tc>
        <w:tc>
          <w:tcPr>
            <w:tcW w:w="860" w:type="dxa"/>
            <w:vAlign w:val="bottom"/>
            <w:gridSpan w:val="2"/>
          </w:tcPr>
          <w:p>
            <w:pPr>
              <w:jc w:val="center"/>
              <w:ind w:right="180"/>
              <w:spacing w:after="0"/>
              <w:rPr>
                <w:sz w:val="20"/>
                <w:szCs w:val="20"/>
                <w:color w:val="auto"/>
              </w:rPr>
            </w:pPr>
            <w:r>
              <w:rPr>
                <w:rFonts w:ascii="Arial" w:cs="Arial" w:eastAsia="Arial" w:hAnsi="Arial"/>
                <w:sz w:val="14"/>
                <w:szCs w:val="14"/>
                <w:color w:val="auto"/>
              </w:rPr>
              <w:t>controlling</w:t>
            </w:r>
          </w:p>
        </w:tc>
        <w:tc>
          <w:tcPr>
            <w:tcW w:w="900" w:type="dxa"/>
            <w:vAlign w:val="bottom"/>
            <w:gridSpan w:val="2"/>
          </w:tcPr>
          <w:p>
            <w:pPr>
              <w:jc w:val="center"/>
              <w:ind w:right="100"/>
              <w:spacing w:after="0"/>
              <w:rPr>
                <w:sz w:val="20"/>
                <w:szCs w:val="20"/>
                <w:color w:val="auto"/>
              </w:rPr>
            </w:pPr>
            <w:r>
              <w:rPr>
                <w:rFonts w:ascii="Arial" w:cs="Arial" w:eastAsia="Arial" w:hAnsi="Arial"/>
                <w:sz w:val="14"/>
                <w:szCs w:val="14"/>
                <w:color w:val="auto"/>
              </w:rPr>
              <w:t>Equity</w:t>
            </w:r>
          </w:p>
        </w:tc>
        <w:tc>
          <w:tcPr>
            <w:tcW w:w="0" w:type="dxa"/>
            <w:vAlign w:val="bottom"/>
          </w:tcPr>
          <w:p>
            <w:pPr>
              <w:spacing w:after="0"/>
              <w:rPr>
                <w:sz w:val="1"/>
                <w:szCs w:val="1"/>
                <w:color w:val="auto"/>
              </w:rPr>
            </w:pPr>
          </w:p>
        </w:tc>
      </w:tr>
      <w:tr>
        <w:trPr>
          <w:trHeight w:val="156"/>
        </w:trPr>
        <w:tc>
          <w:tcPr>
            <w:tcW w:w="1300" w:type="dxa"/>
            <w:vAlign w:val="bottom"/>
          </w:tcPr>
          <w:p>
            <w:pPr>
              <w:spacing w:after="0"/>
              <w:rPr>
                <w:sz w:val="13"/>
                <w:szCs w:val="13"/>
                <w:color w:val="auto"/>
              </w:rPr>
            </w:pPr>
          </w:p>
        </w:tc>
        <w:tc>
          <w:tcPr>
            <w:tcW w:w="860" w:type="dxa"/>
            <w:vAlign w:val="bottom"/>
            <w:tcBorders>
              <w:top w:val="single" w:sz="8" w:color="auto"/>
            </w:tcBorders>
            <w:gridSpan w:val="2"/>
          </w:tcPr>
          <w:p>
            <w:pPr>
              <w:ind w:left="180"/>
              <w:spacing w:after="0" w:line="155" w:lineRule="exact"/>
              <w:rPr>
                <w:sz w:val="20"/>
                <w:szCs w:val="20"/>
                <w:color w:val="auto"/>
              </w:rPr>
            </w:pPr>
            <w:r>
              <w:rPr>
                <w:rFonts w:ascii="Arial" w:cs="Arial" w:eastAsia="Arial" w:hAnsi="Arial"/>
                <w:sz w:val="14"/>
                <w:szCs w:val="14"/>
                <w:color w:val="auto"/>
              </w:rPr>
              <w:t>Stock</w:t>
            </w:r>
          </w:p>
        </w:tc>
        <w:tc>
          <w:tcPr>
            <w:tcW w:w="660" w:type="dxa"/>
            <w:vAlign w:val="bottom"/>
            <w:tcBorders>
              <w:top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Amount</w:t>
            </w:r>
          </w:p>
        </w:tc>
        <w:tc>
          <w:tcPr>
            <w:tcW w:w="160" w:type="dxa"/>
            <w:vAlign w:val="bottom"/>
          </w:tcPr>
          <w:p>
            <w:pPr>
              <w:spacing w:after="0"/>
              <w:rPr>
                <w:sz w:val="13"/>
                <w:szCs w:val="13"/>
                <w:color w:val="auto"/>
              </w:rPr>
            </w:pPr>
          </w:p>
        </w:tc>
        <w:tc>
          <w:tcPr>
            <w:tcW w:w="840" w:type="dxa"/>
            <w:vAlign w:val="bottom"/>
            <w:tcBorders>
              <w:top w:val="single" w:sz="8" w:color="auto"/>
            </w:tcBorders>
            <w:gridSpan w:val="2"/>
          </w:tcPr>
          <w:p>
            <w:pPr>
              <w:jc w:val="right"/>
              <w:ind w:right="360"/>
              <w:spacing w:after="0" w:line="155" w:lineRule="exact"/>
              <w:rPr>
                <w:sz w:val="20"/>
                <w:szCs w:val="20"/>
                <w:color w:val="auto"/>
              </w:rPr>
            </w:pPr>
            <w:r>
              <w:rPr>
                <w:rFonts w:ascii="Arial" w:cs="Arial" w:eastAsia="Arial" w:hAnsi="Arial"/>
                <w:sz w:val="14"/>
                <w:szCs w:val="14"/>
                <w:color w:val="auto"/>
              </w:rPr>
              <w:t>Stock</w:t>
            </w:r>
          </w:p>
        </w:tc>
        <w:tc>
          <w:tcPr>
            <w:tcW w:w="660" w:type="dxa"/>
            <w:vAlign w:val="bottom"/>
            <w:tcBorders>
              <w:top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Amount</w:t>
            </w:r>
          </w:p>
        </w:tc>
        <w:tc>
          <w:tcPr>
            <w:tcW w:w="180" w:type="dxa"/>
            <w:vAlign w:val="bottom"/>
          </w:tcPr>
          <w:p>
            <w:pPr>
              <w:spacing w:after="0"/>
              <w:rPr>
                <w:sz w:val="13"/>
                <w:szCs w:val="13"/>
                <w:color w:val="auto"/>
              </w:rPr>
            </w:pPr>
          </w:p>
        </w:tc>
        <w:tc>
          <w:tcPr>
            <w:tcW w:w="940" w:type="dxa"/>
            <w:vAlign w:val="bottom"/>
            <w:gridSpan w:val="2"/>
          </w:tcPr>
          <w:p>
            <w:pPr>
              <w:jc w:val="center"/>
              <w:ind w:right="200"/>
              <w:spacing w:after="0" w:line="155" w:lineRule="exact"/>
              <w:rPr>
                <w:sz w:val="20"/>
                <w:szCs w:val="20"/>
                <w:color w:val="auto"/>
              </w:rPr>
            </w:pPr>
            <w:r>
              <w:rPr>
                <w:rFonts w:ascii="Arial" w:cs="Arial" w:eastAsia="Arial" w:hAnsi="Arial"/>
                <w:sz w:val="14"/>
                <w:szCs w:val="14"/>
                <w:color w:val="auto"/>
                <w:w w:val="96"/>
              </w:rPr>
              <w:t>Capital</w:t>
            </w:r>
          </w:p>
        </w:tc>
        <w:tc>
          <w:tcPr>
            <w:tcW w:w="820" w:type="dxa"/>
            <w:vAlign w:val="bottom"/>
            <w:gridSpan w:val="2"/>
          </w:tcPr>
          <w:p>
            <w:pPr>
              <w:jc w:val="center"/>
              <w:ind w:right="180"/>
              <w:spacing w:after="0" w:line="155" w:lineRule="exact"/>
              <w:rPr>
                <w:sz w:val="20"/>
                <w:szCs w:val="20"/>
                <w:color w:val="auto"/>
              </w:rPr>
            </w:pPr>
            <w:r>
              <w:rPr>
                <w:rFonts w:ascii="Arial" w:cs="Arial" w:eastAsia="Arial" w:hAnsi="Arial"/>
                <w:sz w:val="14"/>
                <w:szCs w:val="14"/>
                <w:color w:val="auto"/>
                <w:w w:val="87"/>
              </w:rPr>
              <w:t>Reserves</w:t>
            </w:r>
          </w:p>
        </w:tc>
        <w:tc>
          <w:tcPr>
            <w:tcW w:w="980" w:type="dxa"/>
            <w:vAlign w:val="bottom"/>
            <w:gridSpan w:val="2"/>
          </w:tcPr>
          <w:p>
            <w:pPr>
              <w:jc w:val="center"/>
              <w:ind w:right="180"/>
              <w:spacing w:after="0" w:line="155" w:lineRule="exact"/>
              <w:rPr>
                <w:sz w:val="20"/>
                <w:szCs w:val="20"/>
                <w:color w:val="auto"/>
              </w:rPr>
            </w:pPr>
            <w:r>
              <w:rPr>
                <w:rFonts w:ascii="Arial" w:cs="Arial" w:eastAsia="Arial" w:hAnsi="Arial"/>
                <w:sz w:val="14"/>
                <w:szCs w:val="14"/>
                <w:color w:val="auto"/>
                <w:w w:val="94"/>
              </w:rPr>
              <w:t>Earnings</w:t>
            </w:r>
          </w:p>
        </w:tc>
        <w:tc>
          <w:tcPr>
            <w:tcW w:w="1080" w:type="dxa"/>
            <w:vAlign w:val="bottom"/>
            <w:gridSpan w:val="2"/>
          </w:tcPr>
          <w:p>
            <w:pPr>
              <w:jc w:val="center"/>
              <w:ind w:right="180"/>
              <w:spacing w:after="0" w:line="155" w:lineRule="exact"/>
              <w:rPr>
                <w:sz w:val="20"/>
                <w:szCs w:val="20"/>
                <w:color w:val="auto"/>
              </w:rPr>
            </w:pPr>
            <w:r>
              <w:rPr>
                <w:rFonts w:ascii="Arial" w:cs="Arial" w:eastAsia="Arial" w:hAnsi="Arial"/>
                <w:sz w:val="14"/>
                <w:szCs w:val="14"/>
                <w:color w:val="auto"/>
                <w:w w:val="87"/>
              </w:rPr>
              <w:t>Loss</w:t>
            </w:r>
          </w:p>
        </w:tc>
        <w:tc>
          <w:tcPr>
            <w:tcW w:w="1000" w:type="dxa"/>
            <w:vAlign w:val="bottom"/>
            <w:gridSpan w:val="2"/>
          </w:tcPr>
          <w:p>
            <w:pPr>
              <w:jc w:val="center"/>
              <w:ind w:right="180"/>
              <w:spacing w:after="0" w:line="155" w:lineRule="exact"/>
              <w:rPr>
                <w:sz w:val="20"/>
                <w:szCs w:val="20"/>
                <w:color w:val="auto"/>
              </w:rPr>
            </w:pPr>
            <w:r>
              <w:rPr>
                <w:rFonts w:ascii="Arial" w:cs="Arial" w:eastAsia="Arial" w:hAnsi="Arial"/>
                <w:sz w:val="14"/>
                <w:szCs w:val="14"/>
                <w:color w:val="auto"/>
              </w:rPr>
              <w:t>(Deficit)</w:t>
            </w:r>
          </w:p>
        </w:tc>
        <w:tc>
          <w:tcPr>
            <w:tcW w:w="860" w:type="dxa"/>
            <w:vAlign w:val="bottom"/>
            <w:gridSpan w:val="2"/>
          </w:tcPr>
          <w:p>
            <w:pPr>
              <w:jc w:val="center"/>
              <w:ind w:right="180"/>
              <w:spacing w:after="0" w:line="155" w:lineRule="exact"/>
              <w:rPr>
                <w:sz w:val="20"/>
                <w:szCs w:val="20"/>
                <w:color w:val="auto"/>
              </w:rPr>
            </w:pPr>
            <w:r>
              <w:rPr>
                <w:rFonts w:ascii="Arial" w:cs="Arial" w:eastAsia="Arial" w:hAnsi="Arial"/>
                <w:sz w:val="14"/>
                <w:szCs w:val="14"/>
                <w:color w:val="auto"/>
                <w:w w:val="89"/>
              </w:rPr>
              <w:t>Interests</w:t>
            </w:r>
          </w:p>
        </w:tc>
        <w:tc>
          <w:tcPr>
            <w:tcW w:w="900" w:type="dxa"/>
            <w:vAlign w:val="bottom"/>
            <w:gridSpan w:val="2"/>
          </w:tcPr>
          <w:p>
            <w:pPr>
              <w:jc w:val="center"/>
              <w:ind w:right="100"/>
              <w:spacing w:after="0" w:line="155" w:lineRule="exact"/>
              <w:rPr>
                <w:sz w:val="20"/>
                <w:szCs w:val="20"/>
                <w:color w:val="auto"/>
              </w:rPr>
            </w:pPr>
            <w:r>
              <w:rPr>
                <w:rFonts w:ascii="Arial" w:cs="Arial" w:eastAsia="Arial" w:hAnsi="Arial"/>
                <w:sz w:val="14"/>
                <w:szCs w:val="14"/>
                <w:color w:val="auto"/>
                <w:w w:val="99"/>
              </w:rPr>
              <w:t>(Deficit)</w:t>
            </w:r>
          </w:p>
        </w:tc>
        <w:tc>
          <w:tcPr>
            <w:tcW w:w="0" w:type="dxa"/>
            <w:vAlign w:val="bottom"/>
          </w:tcPr>
          <w:p>
            <w:pPr>
              <w:spacing w:after="0"/>
              <w:rPr>
                <w:sz w:val="1"/>
                <w:szCs w:val="1"/>
                <w:color w:val="auto"/>
              </w:rPr>
            </w:pPr>
          </w:p>
        </w:tc>
      </w:tr>
      <w:tr>
        <w:trPr>
          <w:trHeight w:val="142"/>
        </w:trPr>
        <w:tc>
          <w:tcPr>
            <w:tcW w:w="1300" w:type="dxa"/>
            <w:vAlign w:val="bottom"/>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Borders>
              <w:top w:val="single" w:sz="8" w:color="auto"/>
            </w:tcBorders>
          </w:tcPr>
          <w:p>
            <w:pPr>
              <w:jc w:val="right"/>
              <w:ind w:right="228"/>
              <w:spacing w:after="0" w:line="142" w:lineRule="exact"/>
              <w:rPr>
                <w:sz w:val="20"/>
                <w:szCs w:val="20"/>
                <w:color w:val="auto"/>
              </w:rPr>
            </w:pPr>
            <w:r>
              <w:rPr>
                <w:rFonts w:ascii="Arial" w:cs="Arial" w:eastAsia="Arial" w:hAnsi="Arial"/>
                <w:sz w:val="14"/>
                <w:szCs w:val="14"/>
                <w:color w:val="auto"/>
              </w:rPr>
              <w:t>$</w:t>
            </w:r>
          </w:p>
        </w:tc>
        <w:tc>
          <w:tcPr>
            <w:tcW w:w="160" w:type="dxa"/>
            <w:vAlign w:val="bottom"/>
          </w:tcPr>
          <w:p>
            <w:pPr>
              <w:spacing w:after="0"/>
              <w:rPr>
                <w:sz w:val="12"/>
                <w:szCs w:val="12"/>
                <w:color w:val="auto"/>
              </w:rPr>
            </w:pPr>
          </w:p>
        </w:tc>
        <w:tc>
          <w:tcPr>
            <w:tcW w:w="64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Borders>
              <w:top w:val="single" w:sz="8" w:color="auto"/>
            </w:tcBorders>
          </w:tcPr>
          <w:p>
            <w:pPr>
              <w:jc w:val="right"/>
              <w:ind w:right="228"/>
              <w:spacing w:after="0" w:line="142"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7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6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9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180" w:type="dxa"/>
            <w:vAlign w:val="bottom"/>
          </w:tcPr>
          <w:p>
            <w:pPr>
              <w:spacing w:after="0"/>
              <w:rPr>
                <w:sz w:val="12"/>
                <w:szCs w:val="12"/>
                <w:color w:val="auto"/>
              </w:rPr>
            </w:pPr>
          </w:p>
        </w:tc>
        <w:tc>
          <w:tcPr>
            <w:tcW w:w="82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180" w:type="dxa"/>
            <w:vAlign w:val="bottom"/>
          </w:tcPr>
          <w:p>
            <w:pPr>
              <w:spacing w:after="0"/>
              <w:rPr>
                <w:sz w:val="12"/>
                <w:szCs w:val="12"/>
                <w:color w:val="auto"/>
              </w:rPr>
            </w:pPr>
          </w:p>
        </w:tc>
        <w:tc>
          <w:tcPr>
            <w:tcW w:w="6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Balance, January 1,</w:t>
            </w:r>
          </w:p>
        </w:tc>
        <w:tc>
          <w:tcPr>
            <w:tcW w:w="700" w:type="dxa"/>
            <w:vAlign w:val="bottom"/>
            <w:shd w:val="clear" w:color="auto" w:fill="EEEEEE"/>
          </w:tcPr>
          <w:p>
            <w:pPr>
              <w:spacing w:after="0"/>
              <w:rPr>
                <w:sz w:val="11"/>
                <w:szCs w:val="11"/>
                <w:color w:val="auto"/>
              </w:rPr>
            </w:pPr>
          </w:p>
        </w:tc>
        <w:tc>
          <w:tcPr>
            <w:tcW w:w="16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16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00"/>
              <w:spacing w:after="0"/>
              <w:rPr>
                <w:sz w:val="20"/>
                <w:szCs w:val="20"/>
                <w:color w:val="auto"/>
              </w:rPr>
            </w:pPr>
            <w:r>
              <w:rPr>
                <w:rFonts w:ascii="Arial" w:cs="Arial" w:eastAsia="Arial" w:hAnsi="Arial"/>
                <w:sz w:val="14"/>
                <w:szCs w:val="14"/>
                <w:color w:val="auto"/>
              </w:rPr>
              <w:t>2022</w:t>
            </w:r>
          </w:p>
        </w:tc>
        <w:tc>
          <w:tcPr>
            <w:tcW w:w="86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7,071,920</w:t>
            </w:r>
          </w:p>
        </w:tc>
        <w:tc>
          <w:tcPr>
            <w:tcW w:w="8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7,072</w:t>
            </w:r>
          </w:p>
        </w:tc>
        <w:tc>
          <w:tcPr>
            <w:tcW w:w="8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80,000</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80</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14,476,240</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191,219</w:t>
            </w:r>
          </w:p>
        </w:tc>
        <w:tc>
          <w:tcPr>
            <w:tcW w:w="98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(9,918,553)</w:t>
            </w:r>
          </w:p>
        </w:tc>
        <w:tc>
          <w:tcPr>
            <w:tcW w:w="10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13,906</w:t>
            </w:r>
          </w:p>
        </w:tc>
        <w:tc>
          <w:tcPr>
            <w:tcW w:w="10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4,769,964</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4,769,964</w:t>
            </w:r>
          </w:p>
        </w:tc>
        <w:tc>
          <w:tcPr>
            <w:tcW w:w="100" w:type="dxa"/>
            <w:vAlign w:val="bottom"/>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rPr>
              <w:t>Consultancy</w:t>
            </w: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1300" w:type="dxa"/>
            <w:vAlign w:val="bottom"/>
          </w:tcPr>
          <w:p>
            <w:pPr>
              <w:ind w:left="100"/>
              <w:spacing w:after="0" w:line="149" w:lineRule="exact"/>
              <w:rPr>
                <w:sz w:val="20"/>
                <w:szCs w:val="20"/>
                <w:color w:val="auto"/>
              </w:rPr>
            </w:pPr>
            <w:r>
              <w:rPr>
                <w:rFonts w:ascii="Arial" w:cs="Arial" w:eastAsia="Arial" w:hAnsi="Arial"/>
                <w:sz w:val="14"/>
                <w:szCs w:val="14"/>
                <w:color w:val="auto"/>
              </w:rPr>
              <w:t>services settled by</w:t>
            </w:r>
          </w:p>
        </w:tc>
        <w:tc>
          <w:tcPr>
            <w:tcW w:w="7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00"/>
              <w:spacing w:after="0"/>
              <w:rPr>
                <w:sz w:val="20"/>
                <w:szCs w:val="20"/>
                <w:color w:val="auto"/>
              </w:rPr>
            </w:pPr>
            <w:r>
              <w:rPr>
                <w:rFonts w:ascii="Arial" w:cs="Arial" w:eastAsia="Arial" w:hAnsi="Arial"/>
                <w:sz w:val="14"/>
                <w:szCs w:val="14"/>
                <w:color w:val="auto"/>
              </w:rPr>
              <w:t>equities</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66,667</w:t>
            </w: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66</w:t>
            </w: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502,934</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80"/>
              <w:spacing w:after="0"/>
              <w:rPr>
                <w:sz w:val="20"/>
                <w:szCs w:val="20"/>
                <w:color w:val="auto"/>
              </w:rPr>
            </w:pPr>
            <w:r>
              <w:rPr>
                <w:rFonts w:ascii="Arial" w:cs="Arial" w:eastAsia="Arial" w:hAnsi="Arial"/>
                <w:sz w:val="14"/>
                <w:szCs w:val="14"/>
                <w:color w:val="auto"/>
              </w:rPr>
              <w:t>503,000</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503,000</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Foreign currency</w:t>
            </w:r>
          </w:p>
        </w:tc>
        <w:tc>
          <w:tcPr>
            <w:tcW w:w="700" w:type="dxa"/>
            <w:vAlign w:val="bottom"/>
            <w:shd w:val="clear" w:color="auto" w:fill="EEEEEE"/>
          </w:tcPr>
          <w:p>
            <w:pPr>
              <w:spacing w:after="0"/>
              <w:rPr>
                <w:sz w:val="11"/>
                <w:szCs w:val="11"/>
                <w:color w:val="auto"/>
              </w:rPr>
            </w:pPr>
          </w:p>
        </w:tc>
        <w:tc>
          <w:tcPr>
            <w:tcW w:w="16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16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130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700" w:type="dxa"/>
            <w:vAlign w:val="bottom"/>
            <w:shd w:val="clear" w:color="auto" w:fill="EEEEEE"/>
          </w:tcPr>
          <w:p>
            <w:pPr>
              <w:spacing w:after="0"/>
              <w:rPr>
                <w:sz w:val="12"/>
                <w:szCs w:val="12"/>
                <w:color w:val="auto"/>
              </w:rPr>
            </w:pPr>
          </w:p>
        </w:tc>
        <w:tc>
          <w:tcPr>
            <w:tcW w:w="16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16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90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86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129,231</w:t>
            </w:r>
          </w:p>
        </w:tc>
        <w:tc>
          <w:tcPr>
            <w:tcW w:w="10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129,231</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129,231</w:t>
            </w:r>
          </w:p>
        </w:tc>
        <w:tc>
          <w:tcPr>
            <w:tcW w:w="100" w:type="dxa"/>
            <w:vAlign w:val="bottom"/>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00"/>
              <w:spacing w:after="0"/>
              <w:rPr>
                <w:sz w:val="20"/>
                <w:szCs w:val="20"/>
                <w:color w:val="auto"/>
              </w:rPr>
            </w:pPr>
            <w:r>
              <w:rPr>
                <w:rFonts w:ascii="Arial" w:cs="Arial" w:eastAsia="Arial" w:hAnsi="Arial"/>
                <w:sz w:val="14"/>
                <w:szCs w:val="14"/>
                <w:color w:val="auto"/>
              </w:rPr>
              <w:t>compensation</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103,155</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80"/>
              <w:spacing w:after="0"/>
              <w:rPr>
                <w:sz w:val="20"/>
                <w:szCs w:val="20"/>
                <w:color w:val="auto"/>
              </w:rPr>
            </w:pPr>
            <w:r>
              <w:rPr>
                <w:rFonts w:ascii="Arial" w:cs="Arial" w:eastAsia="Arial" w:hAnsi="Arial"/>
                <w:sz w:val="14"/>
                <w:szCs w:val="14"/>
                <w:color w:val="auto"/>
              </w:rPr>
              <w:t>103,155</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103,155</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30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7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EEEEEE"/>
          </w:tcPr>
          <w:p>
            <w:pPr>
              <w:spacing w:after="0"/>
              <w:rPr>
                <w:sz w:val="14"/>
                <w:szCs w:val="14"/>
                <w:color w:val="auto"/>
              </w:rPr>
            </w:pPr>
          </w:p>
        </w:tc>
        <w:tc>
          <w:tcPr>
            <w:tcW w:w="660" w:type="dxa"/>
            <w:vAlign w:val="bottom"/>
            <w:shd w:val="clear" w:color="auto" w:fill="EEEEEE"/>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EEEEEE"/>
          </w:tcPr>
          <w:p>
            <w:pPr>
              <w:spacing w:after="0"/>
              <w:rPr>
                <w:sz w:val="14"/>
                <w:szCs w:val="14"/>
                <w:color w:val="auto"/>
              </w:rPr>
            </w:pPr>
          </w:p>
        </w:tc>
        <w:tc>
          <w:tcPr>
            <w:tcW w:w="8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(805,720)</w:t>
            </w:r>
          </w:p>
        </w:tc>
        <w:tc>
          <w:tcPr>
            <w:tcW w:w="10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(805,720)</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40"/>
              <w:spacing w:after="0"/>
              <w:rPr>
                <w:sz w:val="20"/>
                <w:szCs w:val="20"/>
                <w:color w:val="auto"/>
              </w:rPr>
            </w:pPr>
            <w:r>
              <w:rPr>
                <w:rFonts w:ascii="Arial" w:cs="Arial" w:eastAsia="Arial" w:hAnsi="Arial"/>
                <w:sz w:val="14"/>
                <w:szCs w:val="14"/>
                <w:color w:val="auto"/>
              </w:rPr>
              <w:t>(805,720)</w:t>
            </w:r>
          </w:p>
        </w:tc>
        <w:tc>
          <w:tcPr>
            <w:tcW w:w="0" w:type="dxa"/>
            <w:vAlign w:val="bottom"/>
          </w:tcPr>
          <w:p>
            <w:pPr>
              <w:spacing w:after="0"/>
              <w:rPr>
                <w:sz w:val="1"/>
                <w:szCs w:val="1"/>
                <w:color w:val="auto"/>
              </w:rPr>
            </w:pPr>
          </w:p>
        </w:tc>
      </w:tr>
      <w:tr>
        <w:trPr>
          <w:trHeight w:val="20"/>
        </w:trPr>
        <w:tc>
          <w:tcPr>
            <w:tcW w:w="1300" w:type="dxa"/>
            <w:vAlign w:val="bottom"/>
            <w:vMerge w:val="restart"/>
          </w:tcPr>
          <w:p>
            <w:pPr>
              <w:spacing w:after="0" w:line="130" w:lineRule="exact"/>
              <w:rPr>
                <w:sz w:val="20"/>
                <w:szCs w:val="20"/>
                <w:color w:val="auto"/>
              </w:rPr>
            </w:pPr>
            <w:r>
              <w:rPr>
                <w:rFonts w:ascii="Arial" w:cs="Arial" w:eastAsia="Arial" w:hAnsi="Arial"/>
                <w:sz w:val="14"/>
                <w:szCs w:val="14"/>
                <w:color w:val="auto"/>
              </w:rPr>
              <w:t>Balance, March 31,</w:t>
            </w: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130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18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980" w:type="dxa"/>
            <w:vAlign w:val="bottom"/>
            <w:gridSpan w:val="2"/>
            <w:vMerge w:val="restart"/>
          </w:tcPr>
          <w:p>
            <w:pPr>
              <w:jc w:val="right"/>
              <w:ind w:right="140"/>
              <w:spacing w:after="0"/>
              <w:rPr>
                <w:sz w:val="20"/>
                <w:szCs w:val="20"/>
                <w:color w:val="auto"/>
              </w:rPr>
            </w:pPr>
            <w:r>
              <w:rPr>
                <w:rFonts w:ascii="Arial" w:cs="Arial" w:eastAsia="Arial" w:hAnsi="Arial"/>
                <w:sz w:val="14"/>
                <w:szCs w:val="14"/>
                <w:color w:val="auto"/>
              </w:rPr>
              <w:t>(10,724,273)</w:t>
            </w:r>
          </w:p>
        </w:tc>
        <w:tc>
          <w:tcPr>
            <w:tcW w:w="900" w:type="dxa"/>
            <w:vAlign w:val="bottom"/>
          </w:tcPr>
          <w:p>
            <w:pPr>
              <w:spacing w:after="0"/>
              <w:rPr>
                <w:sz w:val="9"/>
                <w:szCs w:val="9"/>
                <w:color w:val="auto"/>
              </w:rPr>
            </w:pPr>
          </w:p>
        </w:tc>
        <w:tc>
          <w:tcPr>
            <w:tcW w:w="180" w:type="dxa"/>
            <w:vAlign w:val="bottom"/>
          </w:tcPr>
          <w:p>
            <w:pPr>
              <w:spacing w:after="0"/>
              <w:rPr>
                <w:sz w:val="9"/>
                <w:szCs w:val="9"/>
                <w:color w:val="auto"/>
              </w:rPr>
            </w:pPr>
          </w:p>
        </w:tc>
        <w:tc>
          <w:tcPr>
            <w:tcW w:w="8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00"/>
              <w:spacing w:after="0"/>
              <w:rPr>
                <w:sz w:val="20"/>
                <w:szCs w:val="20"/>
                <w:color w:val="auto"/>
              </w:rPr>
            </w:pPr>
            <w:r>
              <w:rPr>
                <w:rFonts w:ascii="Arial" w:cs="Arial" w:eastAsia="Arial" w:hAnsi="Arial"/>
                <w:sz w:val="14"/>
                <w:szCs w:val="14"/>
                <w:color w:val="auto"/>
              </w:rPr>
              <w:t>2022</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7,138,587</w:t>
            </w: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7,138</w:t>
            </w: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80,000</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15,082,329</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191,219</w:t>
            </w:r>
          </w:p>
        </w:tc>
        <w:tc>
          <w:tcPr>
            <w:tcW w:w="980" w:type="dxa"/>
            <w:vAlign w:val="bottom"/>
            <w:gridSpan w:val="2"/>
            <w:vMerge w:val="continue"/>
          </w:tcPr>
          <w:p>
            <w:pPr>
              <w:spacing w:after="0"/>
              <w:rPr>
                <w:sz w:val="14"/>
                <w:szCs w:val="14"/>
                <w:color w:val="auto"/>
              </w:rPr>
            </w:pPr>
          </w:p>
        </w:tc>
        <w:tc>
          <w:tcPr>
            <w:tcW w:w="1080" w:type="dxa"/>
            <w:vAlign w:val="bottom"/>
            <w:gridSpan w:val="2"/>
          </w:tcPr>
          <w:p>
            <w:pPr>
              <w:jc w:val="right"/>
              <w:ind w:right="180"/>
              <w:spacing w:after="0"/>
              <w:rPr>
                <w:sz w:val="20"/>
                <w:szCs w:val="20"/>
                <w:color w:val="auto"/>
              </w:rPr>
            </w:pPr>
            <w:r>
              <w:rPr>
                <w:rFonts w:ascii="Arial" w:cs="Arial" w:eastAsia="Arial" w:hAnsi="Arial"/>
                <w:sz w:val="14"/>
                <w:szCs w:val="14"/>
                <w:color w:val="auto"/>
              </w:rPr>
              <w:t>143,137</w:t>
            </w:r>
          </w:p>
        </w:tc>
        <w:tc>
          <w:tcPr>
            <w:tcW w:w="1000" w:type="dxa"/>
            <w:vAlign w:val="bottom"/>
            <w:gridSpan w:val="2"/>
          </w:tcPr>
          <w:p>
            <w:pPr>
              <w:jc w:val="right"/>
              <w:ind w:right="180"/>
              <w:spacing w:after="0"/>
              <w:rPr>
                <w:sz w:val="20"/>
                <w:szCs w:val="20"/>
                <w:color w:val="auto"/>
              </w:rPr>
            </w:pPr>
            <w:r>
              <w:rPr>
                <w:rFonts w:ascii="Arial" w:cs="Arial" w:eastAsia="Arial" w:hAnsi="Arial"/>
                <w:sz w:val="14"/>
                <w:szCs w:val="14"/>
                <w:color w:val="auto"/>
              </w:rPr>
              <w:t>4,699,630</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4,699,630</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1300" w:type="dxa"/>
            <w:vAlign w:val="bottom"/>
            <w:tcBorders>
              <w:top w:val="single" w:sz="8" w:color="EEEEEE"/>
            </w:tcBorders>
            <w:shd w:val="clear" w:color="auto" w:fill="EEEEEE"/>
          </w:tcPr>
          <w:p>
            <w:pPr>
              <w:spacing w:after="0" w:line="110" w:lineRule="exact"/>
              <w:rPr>
                <w:sz w:val="20"/>
                <w:szCs w:val="20"/>
                <w:color w:val="auto"/>
              </w:rPr>
            </w:pPr>
            <w:r>
              <w:rPr>
                <w:rFonts w:ascii="Arial" w:cs="Arial" w:eastAsia="Arial" w:hAnsi="Arial"/>
                <w:sz w:val="12"/>
                <w:szCs w:val="12"/>
                <w:color w:val="auto"/>
              </w:rPr>
              <w:t>Foreign currency</w:t>
            </w:r>
          </w:p>
        </w:tc>
        <w:tc>
          <w:tcPr>
            <w:tcW w:w="700" w:type="dxa"/>
            <w:vAlign w:val="bottom"/>
            <w:tcBorders>
              <w:top w:val="single" w:sz="8" w:color="auto"/>
            </w:tcBorders>
            <w:shd w:val="clear" w:color="auto" w:fill="EEEEEE"/>
          </w:tcPr>
          <w:p>
            <w:pPr>
              <w:spacing w:after="0"/>
              <w:rPr>
                <w:sz w:val="9"/>
                <w:szCs w:val="9"/>
                <w:color w:val="auto"/>
              </w:rPr>
            </w:pPr>
          </w:p>
        </w:tc>
        <w:tc>
          <w:tcPr>
            <w:tcW w:w="16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16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74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90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130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700" w:type="dxa"/>
            <w:vAlign w:val="bottom"/>
            <w:shd w:val="clear" w:color="auto" w:fill="EEEEEE"/>
          </w:tcPr>
          <w:p>
            <w:pPr>
              <w:spacing w:after="0"/>
              <w:rPr>
                <w:sz w:val="12"/>
                <w:szCs w:val="12"/>
                <w:color w:val="auto"/>
              </w:rPr>
            </w:pPr>
          </w:p>
        </w:tc>
        <w:tc>
          <w:tcPr>
            <w:tcW w:w="16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160" w:type="dxa"/>
            <w:vAlign w:val="bottom"/>
            <w:shd w:val="clear" w:color="auto" w:fill="EEEEEE"/>
          </w:tcPr>
          <w:p>
            <w:pPr>
              <w:spacing w:after="0"/>
              <w:rPr>
                <w:sz w:val="12"/>
                <w:szCs w:val="12"/>
                <w:color w:val="auto"/>
              </w:rPr>
            </w:pPr>
          </w:p>
        </w:tc>
        <w:tc>
          <w:tcPr>
            <w:tcW w:w="840" w:type="dxa"/>
            <w:vAlign w:val="bottom"/>
            <w:gridSpan w:val="2"/>
            <w:vMerge w:val="restart"/>
            <w:shd w:val="clear" w:color="auto" w:fill="EEEEEE"/>
          </w:tcPr>
          <w:p>
            <w:pPr>
              <w:jc w:val="right"/>
              <w:ind w:right="200"/>
              <w:spacing w:after="0"/>
              <w:rPr>
                <w:sz w:val="20"/>
                <w:szCs w:val="20"/>
                <w:color w:val="auto"/>
              </w:rPr>
            </w:pPr>
            <w:r>
              <w:rPr>
                <w:rFonts w:ascii="Arial" w:cs="Arial" w:eastAsia="Arial" w:hAnsi="Arial"/>
                <w:sz w:val="14"/>
                <w:szCs w:val="14"/>
                <w:b w:val="1"/>
                <w:bCs w:val="1"/>
                <w:color w:val="auto"/>
              </w:rPr>
              <w:t>–</w:t>
            </w:r>
          </w:p>
        </w:tc>
        <w:tc>
          <w:tcPr>
            <w:tcW w:w="840" w:type="dxa"/>
            <w:vAlign w:val="bottom"/>
            <w:gridSpan w:val="2"/>
            <w:vMerge w:val="restart"/>
            <w:shd w:val="clear" w:color="auto" w:fill="EEEEEE"/>
          </w:tcPr>
          <w:p>
            <w:pPr>
              <w:jc w:val="right"/>
              <w:ind w:right="180"/>
              <w:spacing w:after="0"/>
              <w:rPr>
                <w:sz w:val="20"/>
                <w:szCs w:val="20"/>
                <w:color w:val="auto"/>
              </w:rPr>
            </w:pPr>
            <w:r>
              <w:rPr>
                <w:rFonts w:ascii="Arial" w:cs="Arial" w:eastAsia="Arial" w:hAnsi="Arial"/>
                <w:sz w:val="14"/>
                <w:szCs w:val="14"/>
                <w:b w:val="1"/>
                <w:bCs w:val="1"/>
                <w:color w:val="auto"/>
              </w:rPr>
              <w:t>–</w:t>
            </w: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90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86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w:t>
            </w:r>
          </w:p>
        </w:tc>
        <w:tc>
          <w:tcPr>
            <w:tcW w:w="840" w:type="dxa"/>
            <w:vAlign w:val="bottom"/>
            <w:gridSpan w:val="2"/>
            <w:vMerge w:val="continue"/>
            <w:shd w:val="clear" w:color="auto" w:fill="EEEEEE"/>
          </w:tcPr>
          <w:p>
            <w:pPr>
              <w:spacing w:after="0"/>
              <w:rPr>
                <w:sz w:val="14"/>
                <w:szCs w:val="14"/>
                <w:color w:val="auto"/>
              </w:rPr>
            </w:pPr>
          </w:p>
        </w:tc>
        <w:tc>
          <w:tcPr>
            <w:tcW w:w="840" w:type="dxa"/>
            <w:vAlign w:val="bottom"/>
            <w:gridSpan w:val="2"/>
            <w:vMerge w:val="continue"/>
            <w:shd w:val="clear" w:color="auto" w:fill="EEEEEE"/>
          </w:tcPr>
          <w:p>
            <w:pPr>
              <w:spacing w:after="0"/>
              <w:rPr>
                <w:sz w:val="14"/>
                <w:szCs w:val="14"/>
                <w:color w:val="auto"/>
              </w:rPr>
            </w:pP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(148,457)</w:t>
            </w:r>
          </w:p>
        </w:tc>
        <w:tc>
          <w:tcPr>
            <w:tcW w:w="100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(148,457)</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40"/>
              <w:spacing w:after="0"/>
              <w:rPr>
                <w:sz w:val="20"/>
                <w:szCs w:val="20"/>
                <w:color w:val="auto"/>
              </w:rPr>
            </w:pPr>
            <w:r>
              <w:rPr>
                <w:rFonts w:ascii="Arial" w:cs="Arial" w:eastAsia="Arial" w:hAnsi="Arial"/>
                <w:sz w:val="14"/>
                <w:szCs w:val="14"/>
                <w:color w:val="auto"/>
              </w:rPr>
              <w:t>(148,457)</w:t>
            </w: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84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84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rPr>
              <w:t>–</w:t>
            </w: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00"/>
              <w:spacing w:after="0"/>
              <w:rPr>
                <w:sz w:val="20"/>
                <w:szCs w:val="20"/>
                <w:color w:val="auto"/>
              </w:rPr>
            </w:pPr>
            <w:r>
              <w:rPr>
                <w:rFonts w:ascii="Arial" w:cs="Arial" w:eastAsia="Arial" w:hAnsi="Arial"/>
                <w:sz w:val="14"/>
                <w:szCs w:val="14"/>
                <w:color w:val="auto"/>
              </w:rPr>
              <w:t>compensation</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40" w:type="dxa"/>
            <w:vAlign w:val="bottom"/>
            <w:gridSpan w:val="2"/>
            <w:vMerge w:val="continue"/>
          </w:tcPr>
          <w:p>
            <w:pPr>
              <w:spacing w:after="0"/>
              <w:rPr>
                <w:sz w:val="14"/>
                <w:szCs w:val="14"/>
                <w:color w:val="auto"/>
              </w:rPr>
            </w:pPr>
          </w:p>
        </w:tc>
        <w:tc>
          <w:tcPr>
            <w:tcW w:w="840" w:type="dxa"/>
            <w:vAlign w:val="bottom"/>
            <w:gridSpan w:val="2"/>
            <w:vMerge w:val="continue"/>
          </w:tcPr>
          <w:p>
            <w:pPr>
              <w:spacing w:after="0"/>
              <w:rPr>
                <w:sz w:val="14"/>
                <w:szCs w:val="14"/>
                <w:color w:val="auto"/>
              </w:rPr>
            </w:pP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103,322</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80"/>
              <w:spacing w:after="0"/>
              <w:rPr>
                <w:sz w:val="20"/>
                <w:szCs w:val="20"/>
                <w:color w:val="auto"/>
              </w:rPr>
            </w:pPr>
            <w:r>
              <w:rPr>
                <w:rFonts w:ascii="Arial" w:cs="Arial" w:eastAsia="Arial" w:hAnsi="Arial"/>
                <w:sz w:val="14"/>
                <w:szCs w:val="14"/>
                <w:color w:val="auto"/>
              </w:rPr>
              <w:t>103,322</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103,322</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30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7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EEEEEE"/>
          </w:tcPr>
          <w:p>
            <w:pPr>
              <w:spacing w:after="0"/>
              <w:rPr>
                <w:sz w:val="14"/>
                <w:szCs w:val="14"/>
                <w:color w:val="auto"/>
              </w:rPr>
            </w:pPr>
          </w:p>
        </w:tc>
        <w:tc>
          <w:tcPr>
            <w:tcW w:w="660" w:type="dxa"/>
            <w:vAlign w:val="bottom"/>
            <w:shd w:val="clear" w:color="auto" w:fill="EEEEEE"/>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EEEEEE"/>
          </w:tcPr>
          <w:p>
            <w:pPr>
              <w:spacing w:after="0"/>
              <w:rPr>
                <w:sz w:val="14"/>
                <w:szCs w:val="14"/>
                <w:color w:val="auto"/>
              </w:rPr>
            </w:pPr>
          </w:p>
        </w:tc>
        <w:tc>
          <w:tcPr>
            <w:tcW w:w="8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b w:val="1"/>
                <w:bCs w:val="1"/>
                <w:color w:val="auto"/>
              </w:rPr>
              <w:t>–</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b w:val="1"/>
                <w:bCs w:val="1"/>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(383,977)</w:t>
            </w:r>
          </w:p>
        </w:tc>
        <w:tc>
          <w:tcPr>
            <w:tcW w:w="10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(383,977)</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40"/>
              <w:spacing w:after="0"/>
              <w:rPr>
                <w:sz w:val="20"/>
                <w:szCs w:val="20"/>
                <w:color w:val="auto"/>
              </w:rPr>
            </w:pPr>
            <w:r>
              <w:rPr>
                <w:rFonts w:ascii="Arial" w:cs="Arial" w:eastAsia="Arial" w:hAnsi="Arial"/>
                <w:sz w:val="14"/>
                <w:szCs w:val="14"/>
                <w:color w:val="auto"/>
              </w:rPr>
              <w:t>(383,977)</w:t>
            </w:r>
          </w:p>
        </w:tc>
        <w:tc>
          <w:tcPr>
            <w:tcW w:w="0" w:type="dxa"/>
            <w:vAlign w:val="bottom"/>
          </w:tcPr>
          <w:p>
            <w:pPr>
              <w:spacing w:after="0"/>
              <w:rPr>
                <w:sz w:val="1"/>
                <w:szCs w:val="1"/>
                <w:color w:val="auto"/>
              </w:rPr>
            </w:pPr>
          </w:p>
        </w:tc>
      </w:tr>
      <w:tr>
        <w:trPr>
          <w:trHeight w:val="20"/>
        </w:trPr>
        <w:tc>
          <w:tcPr>
            <w:tcW w:w="1300" w:type="dxa"/>
            <w:vAlign w:val="bottom"/>
            <w:vMerge w:val="restart"/>
          </w:tcPr>
          <w:p>
            <w:pPr>
              <w:spacing w:after="0" w:line="130" w:lineRule="exact"/>
              <w:rPr>
                <w:sz w:val="20"/>
                <w:szCs w:val="20"/>
                <w:color w:val="auto"/>
              </w:rPr>
            </w:pPr>
            <w:r>
              <w:rPr>
                <w:rFonts w:ascii="Arial" w:cs="Arial" w:eastAsia="Arial" w:hAnsi="Arial"/>
                <w:sz w:val="14"/>
                <w:szCs w:val="14"/>
                <w:color w:val="auto"/>
              </w:rPr>
              <w:t>Balance, June 30,</w:t>
            </w: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1300" w:type="dxa"/>
            <w:vAlign w:val="bottom"/>
            <w:vMerge w:val="continue"/>
          </w:tcPr>
          <w:p>
            <w:pPr>
              <w:spacing w:after="0"/>
              <w:rPr>
                <w:sz w:val="9"/>
                <w:szCs w:val="9"/>
                <w:color w:val="auto"/>
              </w:rPr>
            </w:pPr>
          </w:p>
        </w:tc>
        <w:tc>
          <w:tcPr>
            <w:tcW w:w="700" w:type="dxa"/>
            <w:vAlign w:val="bottom"/>
          </w:tcPr>
          <w:p>
            <w:pPr>
              <w:spacing w:after="0"/>
              <w:rPr>
                <w:sz w:val="9"/>
                <w:szCs w:val="9"/>
                <w:color w:val="auto"/>
              </w:rPr>
            </w:pPr>
          </w:p>
        </w:tc>
        <w:tc>
          <w:tcPr>
            <w:tcW w:w="160" w:type="dxa"/>
            <w:vAlign w:val="bottom"/>
          </w:tcPr>
          <w:p>
            <w:pPr>
              <w:spacing w:after="0"/>
              <w:rPr>
                <w:sz w:val="9"/>
                <w:szCs w:val="9"/>
                <w:color w:val="auto"/>
              </w:rPr>
            </w:pPr>
          </w:p>
        </w:tc>
        <w:tc>
          <w:tcPr>
            <w:tcW w:w="660" w:type="dxa"/>
            <w:vAlign w:val="bottom"/>
          </w:tcPr>
          <w:p>
            <w:pPr>
              <w:spacing w:after="0"/>
              <w:rPr>
                <w:sz w:val="9"/>
                <w:szCs w:val="9"/>
                <w:color w:val="auto"/>
              </w:rPr>
            </w:pPr>
          </w:p>
        </w:tc>
        <w:tc>
          <w:tcPr>
            <w:tcW w:w="160" w:type="dxa"/>
            <w:vAlign w:val="bottom"/>
          </w:tcPr>
          <w:p>
            <w:pPr>
              <w:spacing w:after="0"/>
              <w:rPr>
                <w:sz w:val="9"/>
                <w:szCs w:val="9"/>
                <w:color w:val="auto"/>
              </w:rPr>
            </w:pPr>
          </w:p>
        </w:tc>
        <w:tc>
          <w:tcPr>
            <w:tcW w:w="64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180" w:type="dxa"/>
            <w:vAlign w:val="bottom"/>
          </w:tcPr>
          <w:p>
            <w:pPr>
              <w:spacing w:after="0"/>
              <w:rPr>
                <w:sz w:val="9"/>
                <w:szCs w:val="9"/>
                <w:color w:val="auto"/>
              </w:rPr>
            </w:pPr>
          </w:p>
        </w:tc>
        <w:tc>
          <w:tcPr>
            <w:tcW w:w="740" w:type="dxa"/>
            <w:vAlign w:val="bottom"/>
          </w:tcPr>
          <w:p>
            <w:pPr>
              <w:spacing w:after="0"/>
              <w:rPr>
                <w:sz w:val="9"/>
                <w:szCs w:val="9"/>
                <w:color w:val="auto"/>
              </w:rPr>
            </w:pPr>
          </w:p>
        </w:tc>
        <w:tc>
          <w:tcPr>
            <w:tcW w:w="200" w:type="dxa"/>
            <w:vAlign w:val="bottom"/>
          </w:tcPr>
          <w:p>
            <w:pPr>
              <w:spacing w:after="0"/>
              <w:rPr>
                <w:sz w:val="9"/>
                <w:szCs w:val="9"/>
                <w:color w:val="auto"/>
              </w:rPr>
            </w:pPr>
          </w:p>
        </w:tc>
        <w:tc>
          <w:tcPr>
            <w:tcW w:w="640" w:type="dxa"/>
            <w:vAlign w:val="bottom"/>
          </w:tcPr>
          <w:p>
            <w:pPr>
              <w:spacing w:after="0"/>
              <w:rPr>
                <w:sz w:val="9"/>
                <w:szCs w:val="9"/>
                <w:color w:val="auto"/>
              </w:rPr>
            </w:pPr>
          </w:p>
        </w:tc>
        <w:tc>
          <w:tcPr>
            <w:tcW w:w="180" w:type="dxa"/>
            <w:vAlign w:val="bottom"/>
          </w:tcPr>
          <w:p>
            <w:pPr>
              <w:spacing w:after="0"/>
              <w:rPr>
                <w:sz w:val="9"/>
                <w:szCs w:val="9"/>
                <w:color w:val="auto"/>
              </w:rPr>
            </w:pPr>
          </w:p>
        </w:tc>
        <w:tc>
          <w:tcPr>
            <w:tcW w:w="980" w:type="dxa"/>
            <w:vAlign w:val="bottom"/>
            <w:gridSpan w:val="2"/>
            <w:vMerge w:val="restart"/>
          </w:tcPr>
          <w:p>
            <w:pPr>
              <w:jc w:val="right"/>
              <w:ind w:right="140"/>
              <w:spacing w:after="0"/>
              <w:rPr>
                <w:sz w:val="20"/>
                <w:szCs w:val="20"/>
                <w:color w:val="auto"/>
              </w:rPr>
            </w:pPr>
            <w:r>
              <w:rPr>
                <w:rFonts w:ascii="Arial" w:cs="Arial" w:eastAsia="Arial" w:hAnsi="Arial"/>
                <w:sz w:val="14"/>
                <w:szCs w:val="14"/>
                <w:color w:val="auto"/>
              </w:rPr>
              <w:t>(11,108,250)</w:t>
            </w:r>
          </w:p>
        </w:tc>
        <w:tc>
          <w:tcPr>
            <w:tcW w:w="1080" w:type="dxa"/>
            <w:vAlign w:val="bottom"/>
            <w:gridSpan w:val="2"/>
            <w:vMerge w:val="restart"/>
          </w:tcPr>
          <w:p>
            <w:pPr>
              <w:jc w:val="right"/>
              <w:ind w:right="140"/>
              <w:spacing w:after="0"/>
              <w:rPr>
                <w:sz w:val="20"/>
                <w:szCs w:val="20"/>
                <w:color w:val="auto"/>
              </w:rPr>
            </w:pPr>
            <w:r>
              <w:rPr>
                <w:rFonts w:ascii="Arial" w:cs="Arial" w:eastAsia="Arial" w:hAnsi="Arial"/>
                <w:sz w:val="14"/>
                <w:szCs w:val="14"/>
                <w:color w:val="auto"/>
              </w:rPr>
              <w:t>(5,320)</w:t>
            </w:r>
          </w:p>
        </w:tc>
        <w:tc>
          <w:tcPr>
            <w:tcW w:w="820" w:type="dxa"/>
            <w:vAlign w:val="bottom"/>
          </w:tcPr>
          <w:p>
            <w:pPr>
              <w:spacing w:after="0"/>
              <w:rPr>
                <w:sz w:val="9"/>
                <w:szCs w:val="9"/>
                <w:color w:val="auto"/>
              </w:rPr>
            </w:pPr>
          </w:p>
        </w:tc>
        <w:tc>
          <w:tcPr>
            <w:tcW w:w="180" w:type="dxa"/>
            <w:vAlign w:val="bottom"/>
          </w:tcPr>
          <w:p>
            <w:pPr>
              <w:spacing w:after="0"/>
              <w:rPr>
                <w:sz w:val="9"/>
                <w:szCs w:val="9"/>
                <w:color w:val="auto"/>
              </w:rPr>
            </w:pPr>
          </w:p>
        </w:tc>
        <w:tc>
          <w:tcPr>
            <w:tcW w:w="660" w:type="dxa"/>
            <w:vAlign w:val="bottom"/>
          </w:tcPr>
          <w:p>
            <w:pPr>
              <w:spacing w:after="0"/>
              <w:rPr>
                <w:sz w:val="9"/>
                <w:szCs w:val="9"/>
                <w:color w:val="auto"/>
              </w:rPr>
            </w:pPr>
          </w:p>
        </w:tc>
        <w:tc>
          <w:tcPr>
            <w:tcW w:w="200" w:type="dxa"/>
            <w:vAlign w:val="bottom"/>
          </w:tcPr>
          <w:p>
            <w:pPr>
              <w:spacing w:after="0"/>
              <w:rPr>
                <w:sz w:val="9"/>
                <w:szCs w:val="9"/>
                <w:color w:val="auto"/>
              </w:rPr>
            </w:pPr>
          </w:p>
        </w:tc>
        <w:tc>
          <w:tcPr>
            <w:tcW w:w="80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00"/>
              <w:spacing w:after="0"/>
              <w:rPr>
                <w:sz w:val="20"/>
                <w:szCs w:val="20"/>
                <w:color w:val="auto"/>
              </w:rPr>
            </w:pPr>
            <w:r>
              <w:rPr>
                <w:rFonts w:ascii="Arial" w:cs="Arial" w:eastAsia="Arial" w:hAnsi="Arial"/>
                <w:sz w:val="14"/>
                <w:szCs w:val="14"/>
                <w:color w:val="auto"/>
              </w:rPr>
              <w:t>2022</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7,138,587</w:t>
            </w: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7,138</w:t>
            </w: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80,000</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15,185,651</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191,219</w:t>
            </w:r>
          </w:p>
        </w:tc>
        <w:tc>
          <w:tcPr>
            <w:tcW w:w="980" w:type="dxa"/>
            <w:vAlign w:val="bottom"/>
            <w:gridSpan w:val="2"/>
            <w:vMerge w:val="continue"/>
          </w:tcPr>
          <w:p>
            <w:pPr>
              <w:spacing w:after="0"/>
              <w:rPr>
                <w:sz w:val="14"/>
                <w:szCs w:val="14"/>
                <w:color w:val="auto"/>
              </w:rPr>
            </w:pPr>
          </w:p>
        </w:tc>
        <w:tc>
          <w:tcPr>
            <w:tcW w:w="1080" w:type="dxa"/>
            <w:vAlign w:val="bottom"/>
            <w:gridSpan w:val="2"/>
            <w:vMerge w:val="continue"/>
          </w:tcPr>
          <w:p>
            <w:pPr>
              <w:spacing w:after="0"/>
              <w:rPr>
                <w:sz w:val="14"/>
                <w:szCs w:val="14"/>
                <w:color w:val="auto"/>
              </w:rPr>
            </w:pPr>
          </w:p>
        </w:tc>
        <w:tc>
          <w:tcPr>
            <w:tcW w:w="1000" w:type="dxa"/>
            <w:vAlign w:val="bottom"/>
            <w:gridSpan w:val="2"/>
          </w:tcPr>
          <w:p>
            <w:pPr>
              <w:jc w:val="right"/>
              <w:ind w:right="180"/>
              <w:spacing w:after="0"/>
              <w:rPr>
                <w:sz w:val="20"/>
                <w:szCs w:val="20"/>
                <w:color w:val="auto"/>
              </w:rPr>
            </w:pPr>
            <w:r>
              <w:rPr>
                <w:rFonts w:ascii="Arial" w:cs="Arial" w:eastAsia="Arial" w:hAnsi="Arial"/>
                <w:sz w:val="14"/>
                <w:szCs w:val="14"/>
                <w:color w:val="auto"/>
              </w:rPr>
              <w:t>4,270,518</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4,270,518</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0"/>
        </w:trPr>
        <w:tc>
          <w:tcPr>
            <w:tcW w:w="1300" w:type="dxa"/>
            <w:vAlign w:val="bottom"/>
            <w:tcBorders>
              <w:top w:val="single" w:sz="8" w:color="EEEEEE"/>
            </w:tcBorders>
            <w:shd w:val="clear" w:color="auto" w:fill="EEEEEE"/>
          </w:tcPr>
          <w:p>
            <w:pPr>
              <w:spacing w:after="0" w:line="110" w:lineRule="exact"/>
              <w:rPr>
                <w:sz w:val="20"/>
                <w:szCs w:val="20"/>
                <w:color w:val="auto"/>
              </w:rPr>
            </w:pPr>
            <w:r>
              <w:rPr>
                <w:rFonts w:ascii="Arial" w:cs="Arial" w:eastAsia="Arial" w:hAnsi="Arial"/>
                <w:sz w:val="12"/>
                <w:szCs w:val="12"/>
                <w:color w:val="auto"/>
              </w:rPr>
              <w:t>Foreign currency</w:t>
            </w:r>
          </w:p>
        </w:tc>
        <w:tc>
          <w:tcPr>
            <w:tcW w:w="700" w:type="dxa"/>
            <w:vAlign w:val="bottom"/>
            <w:tcBorders>
              <w:top w:val="single" w:sz="8" w:color="auto"/>
            </w:tcBorders>
            <w:shd w:val="clear" w:color="auto" w:fill="EEEEEE"/>
          </w:tcPr>
          <w:p>
            <w:pPr>
              <w:spacing w:after="0"/>
              <w:rPr>
                <w:sz w:val="9"/>
                <w:szCs w:val="9"/>
                <w:color w:val="auto"/>
              </w:rPr>
            </w:pPr>
          </w:p>
        </w:tc>
        <w:tc>
          <w:tcPr>
            <w:tcW w:w="16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16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74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90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130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700" w:type="dxa"/>
            <w:vAlign w:val="bottom"/>
            <w:shd w:val="clear" w:color="auto" w:fill="EEEEEE"/>
          </w:tcPr>
          <w:p>
            <w:pPr>
              <w:spacing w:after="0"/>
              <w:rPr>
                <w:sz w:val="12"/>
                <w:szCs w:val="12"/>
                <w:color w:val="auto"/>
              </w:rPr>
            </w:pPr>
          </w:p>
        </w:tc>
        <w:tc>
          <w:tcPr>
            <w:tcW w:w="16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160" w:type="dxa"/>
            <w:vAlign w:val="bottom"/>
            <w:shd w:val="clear" w:color="auto" w:fill="EEEEEE"/>
          </w:tcPr>
          <w:p>
            <w:pPr>
              <w:spacing w:after="0"/>
              <w:rPr>
                <w:sz w:val="12"/>
                <w:szCs w:val="12"/>
                <w:color w:val="auto"/>
              </w:rPr>
            </w:pPr>
          </w:p>
        </w:tc>
        <w:tc>
          <w:tcPr>
            <w:tcW w:w="840" w:type="dxa"/>
            <w:vAlign w:val="bottom"/>
            <w:gridSpan w:val="2"/>
            <w:vMerge w:val="restart"/>
            <w:shd w:val="clear" w:color="auto" w:fill="EEEEEE"/>
          </w:tcPr>
          <w:p>
            <w:pPr>
              <w:jc w:val="right"/>
              <w:ind w:right="200"/>
              <w:spacing w:after="0"/>
              <w:rPr>
                <w:sz w:val="20"/>
                <w:szCs w:val="20"/>
                <w:color w:val="auto"/>
              </w:rPr>
            </w:pPr>
            <w:r>
              <w:rPr>
                <w:rFonts w:ascii="Arial" w:cs="Arial" w:eastAsia="Arial" w:hAnsi="Arial"/>
                <w:sz w:val="14"/>
                <w:szCs w:val="14"/>
                <w:b w:val="1"/>
                <w:bCs w:val="1"/>
                <w:color w:val="auto"/>
              </w:rPr>
              <w:t>–</w:t>
            </w:r>
          </w:p>
        </w:tc>
        <w:tc>
          <w:tcPr>
            <w:tcW w:w="840" w:type="dxa"/>
            <w:vAlign w:val="bottom"/>
            <w:gridSpan w:val="2"/>
            <w:vMerge w:val="restart"/>
            <w:shd w:val="clear" w:color="auto" w:fill="EEEEEE"/>
          </w:tcPr>
          <w:p>
            <w:pPr>
              <w:jc w:val="right"/>
              <w:ind w:right="180"/>
              <w:spacing w:after="0"/>
              <w:rPr>
                <w:sz w:val="20"/>
                <w:szCs w:val="20"/>
                <w:color w:val="auto"/>
              </w:rPr>
            </w:pPr>
            <w:r>
              <w:rPr>
                <w:rFonts w:ascii="Arial" w:cs="Arial" w:eastAsia="Arial" w:hAnsi="Arial"/>
                <w:sz w:val="14"/>
                <w:szCs w:val="14"/>
                <w:b w:val="1"/>
                <w:bCs w:val="1"/>
                <w:color w:val="auto"/>
              </w:rPr>
              <w:t>–</w:t>
            </w: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90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86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w:t>
            </w:r>
          </w:p>
        </w:tc>
        <w:tc>
          <w:tcPr>
            <w:tcW w:w="840" w:type="dxa"/>
            <w:vAlign w:val="bottom"/>
            <w:gridSpan w:val="2"/>
            <w:vMerge w:val="continue"/>
            <w:shd w:val="clear" w:color="auto" w:fill="EEEEEE"/>
          </w:tcPr>
          <w:p>
            <w:pPr>
              <w:spacing w:after="0"/>
              <w:rPr>
                <w:sz w:val="14"/>
                <w:szCs w:val="14"/>
                <w:color w:val="auto"/>
              </w:rPr>
            </w:pPr>
          </w:p>
        </w:tc>
        <w:tc>
          <w:tcPr>
            <w:tcW w:w="840" w:type="dxa"/>
            <w:vAlign w:val="bottom"/>
            <w:gridSpan w:val="2"/>
            <w:vMerge w:val="continue"/>
            <w:shd w:val="clear" w:color="auto" w:fill="EEEEEE"/>
          </w:tcPr>
          <w:p>
            <w:pPr>
              <w:spacing w:after="0"/>
              <w:rPr>
                <w:sz w:val="14"/>
                <w:szCs w:val="14"/>
                <w:color w:val="auto"/>
              </w:rPr>
            </w:pP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(6,343)</w:t>
            </w:r>
          </w:p>
        </w:tc>
        <w:tc>
          <w:tcPr>
            <w:tcW w:w="100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(6,343)</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40"/>
              <w:spacing w:after="0"/>
              <w:rPr>
                <w:sz w:val="20"/>
                <w:szCs w:val="20"/>
                <w:color w:val="auto"/>
              </w:rPr>
            </w:pPr>
            <w:r>
              <w:rPr>
                <w:rFonts w:ascii="Arial" w:cs="Arial" w:eastAsia="Arial" w:hAnsi="Arial"/>
                <w:sz w:val="14"/>
                <w:szCs w:val="14"/>
                <w:color w:val="auto"/>
              </w:rPr>
              <w:t>(6,343)</w:t>
            </w: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00"/>
              <w:spacing w:after="0"/>
              <w:rPr>
                <w:sz w:val="20"/>
                <w:szCs w:val="20"/>
                <w:color w:val="auto"/>
              </w:rPr>
            </w:pPr>
            <w:r>
              <w:rPr>
                <w:rFonts w:ascii="Arial" w:cs="Arial" w:eastAsia="Arial" w:hAnsi="Arial"/>
                <w:sz w:val="14"/>
                <w:szCs w:val="14"/>
                <w:color w:val="auto"/>
              </w:rPr>
              <w:t>compensation</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103,488</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80"/>
              <w:spacing w:after="0"/>
              <w:rPr>
                <w:sz w:val="20"/>
                <w:szCs w:val="20"/>
                <w:color w:val="auto"/>
              </w:rPr>
            </w:pPr>
            <w:r>
              <w:rPr>
                <w:rFonts w:ascii="Arial" w:cs="Arial" w:eastAsia="Arial" w:hAnsi="Arial"/>
                <w:sz w:val="14"/>
                <w:szCs w:val="14"/>
                <w:color w:val="auto"/>
              </w:rPr>
              <w:t>103,488</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103,488</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Purchase of non-</w:t>
            </w:r>
          </w:p>
        </w:tc>
        <w:tc>
          <w:tcPr>
            <w:tcW w:w="700" w:type="dxa"/>
            <w:vAlign w:val="bottom"/>
            <w:shd w:val="clear" w:color="auto" w:fill="EEEEEE"/>
          </w:tcPr>
          <w:p>
            <w:pPr>
              <w:spacing w:after="0"/>
              <w:rPr>
                <w:sz w:val="11"/>
                <w:szCs w:val="11"/>
                <w:color w:val="auto"/>
              </w:rPr>
            </w:pPr>
          </w:p>
        </w:tc>
        <w:tc>
          <w:tcPr>
            <w:tcW w:w="16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16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00"/>
              <w:spacing w:after="0"/>
              <w:rPr>
                <w:sz w:val="20"/>
                <w:szCs w:val="20"/>
                <w:color w:val="auto"/>
              </w:rPr>
            </w:pPr>
            <w:r>
              <w:rPr>
                <w:rFonts w:ascii="Arial" w:cs="Arial" w:eastAsia="Arial" w:hAnsi="Arial"/>
                <w:sz w:val="14"/>
                <w:szCs w:val="14"/>
                <w:color w:val="auto"/>
              </w:rPr>
              <w:t>controlling interest</w:t>
            </w:r>
          </w:p>
        </w:tc>
        <w:tc>
          <w:tcPr>
            <w:tcW w:w="86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64,735</w:t>
            </w:r>
          </w:p>
        </w:tc>
        <w:tc>
          <w:tcPr>
            <w:tcW w:w="8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64,735</w:t>
            </w:r>
          </w:p>
        </w:tc>
        <w:tc>
          <w:tcPr>
            <w:tcW w:w="100" w:type="dxa"/>
            <w:vAlign w:val="bottom"/>
            <w:shd w:val="clear" w:color="auto" w:fill="EEEEEE"/>
          </w:tcPr>
          <w:p>
            <w:pPr>
              <w:spacing w:after="0"/>
              <w:rPr>
                <w:sz w:val="14"/>
                <w:szCs w:val="14"/>
                <w:color w:val="auto"/>
              </w:rPr>
            </w:pP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rPr>
              <w:t>Common stock</w:t>
            </w:r>
          </w:p>
        </w:tc>
        <w:tc>
          <w:tcPr>
            <w:tcW w:w="7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00"/>
              <w:spacing w:after="0"/>
              <w:rPr>
                <w:sz w:val="20"/>
                <w:szCs w:val="20"/>
                <w:color w:val="auto"/>
              </w:rPr>
            </w:pPr>
            <w:r>
              <w:rPr>
                <w:rFonts w:ascii="Arial" w:cs="Arial" w:eastAsia="Arial" w:hAnsi="Arial"/>
                <w:sz w:val="14"/>
                <w:szCs w:val="14"/>
                <w:color w:val="auto"/>
              </w:rPr>
              <w:t>issuance</w:t>
            </w:r>
          </w:p>
        </w:tc>
        <w:tc>
          <w:tcPr>
            <w:tcW w:w="860" w:type="dxa"/>
            <w:vAlign w:val="bottom"/>
            <w:gridSpan w:val="2"/>
          </w:tcPr>
          <w:p>
            <w:pPr>
              <w:jc w:val="right"/>
              <w:ind w:right="160"/>
              <w:spacing w:after="0"/>
              <w:rPr>
                <w:sz w:val="20"/>
                <w:szCs w:val="20"/>
                <w:color w:val="auto"/>
              </w:rPr>
            </w:pPr>
            <w:r>
              <w:rPr>
                <w:rFonts w:ascii="Arial" w:cs="Arial" w:eastAsia="Arial" w:hAnsi="Arial"/>
                <w:sz w:val="14"/>
                <w:szCs w:val="14"/>
                <w:color w:val="auto"/>
              </w:rPr>
              <w:t>1,880,000</w:t>
            </w:r>
          </w:p>
        </w:tc>
        <w:tc>
          <w:tcPr>
            <w:tcW w:w="820" w:type="dxa"/>
            <w:vAlign w:val="bottom"/>
            <w:gridSpan w:val="2"/>
          </w:tcPr>
          <w:p>
            <w:pPr>
              <w:jc w:val="right"/>
              <w:ind w:right="160"/>
              <w:spacing w:after="0"/>
              <w:rPr>
                <w:sz w:val="20"/>
                <w:szCs w:val="20"/>
                <w:color w:val="auto"/>
              </w:rPr>
            </w:pPr>
            <w:r>
              <w:rPr>
                <w:rFonts w:ascii="Arial" w:cs="Arial" w:eastAsia="Arial" w:hAnsi="Arial"/>
                <w:sz w:val="14"/>
                <w:szCs w:val="14"/>
                <w:color w:val="auto"/>
              </w:rPr>
              <w:t>1,880</w:t>
            </w:r>
          </w:p>
        </w:tc>
        <w:tc>
          <w:tcPr>
            <w:tcW w:w="8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4,799,616</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80"/>
              <w:spacing w:after="0"/>
              <w:rPr>
                <w:sz w:val="20"/>
                <w:szCs w:val="20"/>
                <w:color w:val="auto"/>
              </w:rPr>
            </w:pPr>
            <w:r>
              <w:rPr>
                <w:rFonts w:ascii="Arial" w:cs="Arial" w:eastAsia="Arial" w:hAnsi="Arial"/>
                <w:sz w:val="14"/>
                <w:szCs w:val="14"/>
                <w:color w:val="auto"/>
              </w:rPr>
              <w:t>4,801,496</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00" w:type="dxa"/>
            <w:vAlign w:val="bottom"/>
          </w:tcPr>
          <w:p>
            <w:pPr>
              <w:jc w:val="right"/>
              <w:spacing w:after="0"/>
              <w:rPr>
                <w:sz w:val="20"/>
                <w:szCs w:val="20"/>
                <w:color w:val="auto"/>
              </w:rPr>
            </w:pPr>
            <w:r>
              <w:rPr>
                <w:rFonts w:ascii="Arial" w:cs="Arial" w:eastAsia="Arial" w:hAnsi="Arial"/>
                <w:sz w:val="14"/>
                <w:szCs w:val="14"/>
                <w:color w:val="auto"/>
              </w:rPr>
              <w:t>4,801,496</w:t>
            </w: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62"/>
        </w:trPr>
        <w:tc>
          <w:tcPr>
            <w:tcW w:w="130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7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EEEEEE"/>
          </w:tcPr>
          <w:p>
            <w:pPr>
              <w:spacing w:after="0"/>
              <w:rPr>
                <w:sz w:val="14"/>
                <w:szCs w:val="14"/>
                <w:color w:val="auto"/>
              </w:rPr>
            </w:pPr>
          </w:p>
        </w:tc>
        <w:tc>
          <w:tcPr>
            <w:tcW w:w="660" w:type="dxa"/>
            <w:vAlign w:val="bottom"/>
            <w:shd w:val="clear" w:color="auto" w:fill="EEEEEE"/>
          </w:tcPr>
          <w:p>
            <w:pPr>
              <w:jc w:val="right"/>
              <w:spacing w:after="0"/>
              <w:rPr>
                <w:sz w:val="20"/>
                <w:szCs w:val="20"/>
                <w:color w:val="auto"/>
              </w:rPr>
            </w:pPr>
            <w:r>
              <w:rPr>
                <w:rFonts w:ascii="Arial" w:cs="Arial" w:eastAsia="Arial" w:hAnsi="Arial"/>
                <w:sz w:val="14"/>
                <w:szCs w:val="14"/>
                <w:color w:val="auto"/>
              </w:rPr>
              <w:t>–</w:t>
            </w:r>
          </w:p>
        </w:tc>
        <w:tc>
          <w:tcPr>
            <w:tcW w:w="160" w:type="dxa"/>
            <w:vAlign w:val="bottom"/>
            <w:shd w:val="clear" w:color="auto" w:fill="EEEEEE"/>
          </w:tcPr>
          <w:p>
            <w:pPr>
              <w:spacing w:after="0"/>
              <w:rPr>
                <w:sz w:val="14"/>
                <w:szCs w:val="14"/>
                <w:color w:val="auto"/>
              </w:rPr>
            </w:pPr>
          </w:p>
        </w:tc>
        <w:tc>
          <w:tcPr>
            <w:tcW w:w="8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(865,490)</w:t>
            </w:r>
          </w:p>
        </w:tc>
        <w:tc>
          <w:tcPr>
            <w:tcW w:w="10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(865,490)</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4,767</w:t>
            </w:r>
          </w:p>
        </w:tc>
        <w:tc>
          <w:tcPr>
            <w:tcW w:w="900" w:type="dxa"/>
            <w:vAlign w:val="bottom"/>
            <w:gridSpan w:val="2"/>
            <w:shd w:val="clear" w:color="auto" w:fill="EEEEEE"/>
          </w:tcPr>
          <w:p>
            <w:pPr>
              <w:jc w:val="right"/>
              <w:ind w:right="40"/>
              <w:spacing w:after="0"/>
              <w:rPr>
                <w:sz w:val="20"/>
                <w:szCs w:val="20"/>
                <w:color w:val="auto"/>
              </w:rPr>
            </w:pPr>
            <w:r>
              <w:rPr>
                <w:rFonts w:ascii="Arial" w:cs="Arial" w:eastAsia="Arial" w:hAnsi="Arial"/>
                <w:sz w:val="14"/>
                <w:szCs w:val="14"/>
                <w:color w:val="auto"/>
              </w:rPr>
              <w:t>(860,723)</w:t>
            </w:r>
          </w:p>
        </w:tc>
        <w:tc>
          <w:tcPr>
            <w:tcW w:w="0" w:type="dxa"/>
            <w:vAlign w:val="bottom"/>
          </w:tcPr>
          <w:p>
            <w:pPr>
              <w:spacing w:after="0"/>
              <w:rPr>
                <w:sz w:val="1"/>
                <w:szCs w:val="1"/>
                <w:color w:val="auto"/>
              </w:rPr>
            </w:pPr>
          </w:p>
        </w:tc>
      </w:tr>
      <w:tr>
        <w:trPr>
          <w:trHeight w:val="20"/>
        </w:trPr>
        <w:tc>
          <w:tcPr>
            <w:tcW w:w="1300" w:type="dxa"/>
            <w:vAlign w:val="bottom"/>
            <w:vMerge w:val="restart"/>
          </w:tcPr>
          <w:p>
            <w:pPr>
              <w:spacing w:after="0" w:line="130" w:lineRule="exact"/>
              <w:rPr>
                <w:sz w:val="20"/>
                <w:szCs w:val="20"/>
                <w:color w:val="auto"/>
              </w:rPr>
            </w:pPr>
            <w:r>
              <w:rPr>
                <w:rFonts w:ascii="Arial" w:cs="Arial" w:eastAsia="Arial" w:hAnsi="Arial"/>
                <w:sz w:val="14"/>
                <w:szCs w:val="14"/>
                <w:color w:val="auto"/>
              </w:rPr>
              <w:t>Balance,September</w:t>
            </w:r>
          </w:p>
        </w:tc>
        <w:tc>
          <w:tcPr>
            <w:tcW w:w="70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1300" w:type="dxa"/>
            <w:vAlign w:val="bottom"/>
            <w:vMerge w:val="continue"/>
          </w:tcPr>
          <w:p>
            <w:pPr>
              <w:spacing w:after="0"/>
              <w:rPr>
                <w:sz w:val="9"/>
                <w:szCs w:val="9"/>
                <w:color w:val="auto"/>
              </w:rPr>
            </w:pPr>
          </w:p>
        </w:tc>
        <w:tc>
          <w:tcPr>
            <w:tcW w:w="700" w:type="dxa"/>
            <w:vAlign w:val="bottom"/>
            <w:vMerge w:val="restart"/>
          </w:tcPr>
          <w:p>
            <w:pPr>
              <w:jc w:val="right"/>
              <w:spacing w:after="0"/>
              <w:rPr>
                <w:sz w:val="20"/>
                <w:szCs w:val="20"/>
                <w:color w:val="auto"/>
              </w:rPr>
            </w:pPr>
            <w:r>
              <w:rPr>
                <w:rFonts w:ascii="Arial" w:cs="Arial" w:eastAsia="Arial" w:hAnsi="Arial"/>
                <w:sz w:val="14"/>
                <w:szCs w:val="14"/>
                <w:color w:val="auto"/>
              </w:rPr>
              <w:t>9,018,587</w:t>
            </w:r>
          </w:p>
        </w:tc>
        <w:tc>
          <w:tcPr>
            <w:tcW w:w="160" w:type="dxa"/>
            <w:vAlign w:val="bottom"/>
            <w:vMerge w:val="restart"/>
          </w:tcPr>
          <w:p>
            <w:pPr>
              <w:spacing w:after="0"/>
              <w:rPr>
                <w:sz w:val="9"/>
                <w:szCs w:val="9"/>
                <w:color w:val="auto"/>
              </w:rPr>
            </w:pPr>
          </w:p>
        </w:tc>
        <w:tc>
          <w:tcPr>
            <w:tcW w:w="660" w:type="dxa"/>
            <w:vAlign w:val="bottom"/>
            <w:vMerge w:val="restart"/>
          </w:tcPr>
          <w:p>
            <w:pPr>
              <w:jc w:val="right"/>
              <w:spacing w:after="0"/>
              <w:rPr>
                <w:sz w:val="20"/>
                <w:szCs w:val="20"/>
                <w:color w:val="auto"/>
              </w:rPr>
            </w:pPr>
            <w:r>
              <w:rPr>
                <w:rFonts w:ascii="Arial" w:cs="Arial" w:eastAsia="Arial" w:hAnsi="Arial"/>
                <w:sz w:val="14"/>
                <w:szCs w:val="14"/>
                <w:color w:val="auto"/>
              </w:rPr>
              <w:t>9,018</w:t>
            </w:r>
          </w:p>
        </w:tc>
        <w:tc>
          <w:tcPr>
            <w:tcW w:w="160" w:type="dxa"/>
            <w:vAlign w:val="bottom"/>
            <w:vMerge w:val="restart"/>
          </w:tcPr>
          <w:p>
            <w:pPr>
              <w:spacing w:after="0"/>
              <w:rPr>
                <w:sz w:val="9"/>
                <w:szCs w:val="9"/>
                <w:color w:val="auto"/>
              </w:rPr>
            </w:pPr>
          </w:p>
        </w:tc>
        <w:tc>
          <w:tcPr>
            <w:tcW w:w="840" w:type="dxa"/>
            <w:vAlign w:val="bottom"/>
            <w:gridSpan w:val="2"/>
            <w:vMerge w:val="restart"/>
          </w:tcPr>
          <w:p>
            <w:pPr>
              <w:jc w:val="right"/>
              <w:ind w:right="200"/>
              <w:spacing w:after="0"/>
              <w:rPr>
                <w:sz w:val="20"/>
                <w:szCs w:val="20"/>
                <w:color w:val="auto"/>
              </w:rPr>
            </w:pPr>
            <w:r>
              <w:rPr>
                <w:rFonts w:ascii="Arial" w:cs="Arial" w:eastAsia="Arial" w:hAnsi="Arial"/>
                <w:sz w:val="14"/>
                <w:szCs w:val="14"/>
                <w:color w:val="auto"/>
              </w:rPr>
              <w:t>80,000</w:t>
            </w:r>
          </w:p>
        </w:tc>
        <w:tc>
          <w:tcPr>
            <w:tcW w:w="840" w:type="dxa"/>
            <w:vAlign w:val="bottom"/>
            <w:gridSpan w:val="2"/>
            <w:vMerge w:val="restart"/>
          </w:tcPr>
          <w:p>
            <w:pPr>
              <w:jc w:val="right"/>
              <w:ind w:right="180"/>
              <w:spacing w:after="0"/>
              <w:rPr>
                <w:sz w:val="20"/>
                <w:szCs w:val="20"/>
                <w:color w:val="auto"/>
              </w:rPr>
            </w:pPr>
            <w:r>
              <w:rPr>
                <w:rFonts w:ascii="Arial" w:cs="Arial" w:eastAsia="Arial" w:hAnsi="Arial"/>
                <w:sz w:val="14"/>
                <w:szCs w:val="14"/>
                <w:color w:val="auto"/>
              </w:rPr>
              <w:t>80</w:t>
            </w:r>
          </w:p>
        </w:tc>
        <w:tc>
          <w:tcPr>
            <w:tcW w:w="940" w:type="dxa"/>
            <w:vAlign w:val="bottom"/>
            <w:gridSpan w:val="2"/>
            <w:vMerge w:val="restart"/>
          </w:tcPr>
          <w:p>
            <w:pPr>
              <w:jc w:val="right"/>
              <w:ind w:right="200"/>
              <w:spacing w:after="0"/>
              <w:rPr>
                <w:sz w:val="20"/>
                <w:szCs w:val="20"/>
                <w:color w:val="auto"/>
              </w:rPr>
            </w:pPr>
            <w:r>
              <w:rPr>
                <w:rFonts w:ascii="Arial" w:cs="Arial" w:eastAsia="Arial" w:hAnsi="Arial"/>
                <w:sz w:val="14"/>
                <w:szCs w:val="14"/>
                <w:color w:val="auto"/>
              </w:rPr>
              <w:t>20,088,755</w:t>
            </w:r>
          </w:p>
        </w:tc>
        <w:tc>
          <w:tcPr>
            <w:tcW w:w="820" w:type="dxa"/>
            <w:vAlign w:val="bottom"/>
            <w:gridSpan w:val="2"/>
            <w:vMerge w:val="restart"/>
          </w:tcPr>
          <w:p>
            <w:pPr>
              <w:jc w:val="right"/>
              <w:ind w:right="180"/>
              <w:spacing w:after="0"/>
              <w:rPr>
                <w:sz w:val="20"/>
                <w:szCs w:val="20"/>
                <w:color w:val="auto"/>
              </w:rPr>
            </w:pPr>
            <w:r>
              <w:rPr>
                <w:rFonts w:ascii="Arial" w:cs="Arial" w:eastAsia="Arial" w:hAnsi="Arial"/>
                <w:sz w:val="14"/>
                <w:szCs w:val="14"/>
                <w:color w:val="auto"/>
              </w:rPr>
              <w:t>191,219</w:t>
            </w:r>
          </w:p>
        </w:tc>
        <w:tc>
          <w:tcPr>
            <w:tcW w:w="980" w:type="dxa"/>
            <w:vAlign w:val="bottom"/>
            <w:gridSpan w:val="2"/>
            <w:vMerge w:val="restart"/>
          </w:tcPr>
          <w:p>
            <w:pPr>
              <w:jc w:val="right"/>
              <w:ind w:right="140"/>
              <w:spacing w:after="0"/>
              <w:rPr>
                <w:sz w:val="20"/>
                <w:szCs w:val="20"/>
                <w:color w:val="auto"/>
              </w:rPr>
            </w:pPr>
            <w:r>
              <w:rPr>
                <w:rFonts w:ascii="Arial" w:cs="Arial" w:eastAsia="Arial" w:hAnsi="Arial"/>
                <w:sz w:val="14"/>
                <w:szCs w:val="14"/>
                <w:color w:val="auto"/>
              </w:rPr>
              <w:t>(11,973,740)</w:t>
            </w:r>
          </w:p>
        </w:tc>
        <w:tc>
          <w:tcPr>
            <w:tcW w:w="1080" w:type="dxa"/>
            <w:vAlign w:val="bottom"/>
            <w:gridSpan w:val="2"/>
            <w:vMerge w:val="restart"/>
          </w:tcPr>
          <w:p>
            <w:pPr>
              <w:jc w:val="right"/>
              <w:ind w:right="140"/>
              <w:spacing w:after="0"/>
              <w:rPr>
                <w:sz w:val="20"/>
                <w:szCs w:val="20"/>
                <w:color w:val="auto"/>
              </w:rPr>
            </w:pPr>
            <w:r>
              <w:rPr>
                <w:rFonts w:ascii="Arial" w:cs="Arial" w:eastAsia="Arial" w:hAnsi="Arial"/>
                <w:sz w:val="14"/>
                <w:szCs w:val="14"/>
                <w:color w:val="auto"/>
              </w:rPr>
              <w:t>(11,663)</w:t>
            </w:r>
          </w:p>
        </w:tc>
        <w:tc>
          <w:tcPr>
            <w:tcW w:w="1000" w:type="dxa"/>
            <w:vAlign w:val="bottom"/>
            <w:gridSpan w:val="2"/>
            <w:vMerge w:val="restart"/>
          </w:tcPr>
          <w:p>
            <w:pPr>
              <w:jc w:val="right"/>
              <w:ind w:right="180"/>
              <w:spacing w:after="0"/>
              <w:rPr>
                <w:sz w:val="20"/>
                <w:szCs w:val="20"/>
                <w:color w:val="auto"/>
              </w:rPr>
            </w:pPr>
            <w:r>
              <w:rPr>
                <w:rFonts w:ascii="Arial" w:cs="Arial" w:eastAsia="Arial" w:hAnsi="Arial"/>
                <w:sz w:val="14"/>
                <w:szCs w:val="14"/>
                <w:color w:val="auto"/>
              </w:rPr>
              <w:t>8,303,669</w:t>
            </w:r>
          </w:p>
        </w:tc>
        <w:tc>
          <w:tcPr>
            <w:tcW w:w="860" w:type="dxa"/>
            <w:vAlign w:val="bottom"/>
            <w:gridSpan w:val="2"/>
            <w:vMerge w:val="restart"/>
          </w:tcPr>
          <w:p>
            <w:pPr>
              <w:jc w:val="right"/>
              <w:ind w:right="200"/>
              <w:spacing w:after="0"/>
              <w:rPr>
                <w:sz w:val="20"/>
                <w:szCs w:val="20"/>
                <w:color w:val="auto"/>
              </w:rPr>
            </w:pPr>
            <w:r>
              <w:rPr>
                <w:rFonts w:ascii="Arial" w:cs="Arial" w:eastAsia="Arial" w:hAnsi="Arial"/>
                <w:sz w:val="14"/>
                <w:szCs w:val="14"/>
                <w:color w:val="auto"/>
              </w:rPr>
              <w:t>69,502</w:t>
            </w:r>
          </w:p>
        </w:tc>
        <w:tc>
          <w:tcPr>
            <w:tcW w:w="800" w:type="dxa"/>
            <w:vAlign w:val="bottom"/>
            <w:vMerge w:val="restart"/>
          </w:tcPr>
          <w:p>
            <w:pPr>
              <w:jc w:val="right"/>
              <w:spacing w:after="0"/>
              <w:rPr>
                <w:sz w:val="20"/>
                <w:szCs w:val="20"/>
                <w:color w:val="auto"/>
              </w:rPr>
            </w:pPr>
            <w:r>
              <w:rPr>
                <w:rFonts w:ascii="Arial" w:cs="Arial" w:eastAsia="Arial" w:hAnsi="Arial"/>
                <w:sz w:val="14"/>
                <w:szCs w:val="14"/>
                <w:color w:val="auto"/>
              </w:rPr>
              <w:t>8,373,171</w:t>
            </w: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4"/>
        </w:trPr>
        <w:tc>
          <w:tcPr>
            <w:tcW w:w="1300" w:type="dxa"/>
            <w:vAlign w:val="bottom"/>
          </w:tcPr>
          <w:p>
            <w:pPr>
              <w:ind w:left="100"/>
              <w:spacing w:after="0" w:line="154" w:lineRule="exact"/>
              <w:rPr>
                <w:sz w:val="20"/>
                <w:szCs w:val="20"/>
                <w:color w:val="auto"/>
              </w:rPr>
            </w:pPr>
            <w:r>
              <w:rPr>
                <w:rFonts w:ascii="Arial" w:cs="Arial" w:eastAsia="Arial" w:hAnsi="Arial"/>
                <w:sz w:val="14"/>
                <w:szCs w:val="14"/>
                <w:color w:val="auto"/>
              </w:rPr>
              <w:t>30, 2022</w:t>
            </w:r>
          </w:p>
        </w:tc>
        <w:tc>
          <w:tcPr>
            <w:tcW w:w="700" w:type="dxa"/>
            <w:vAlign w:val="bottom"/>
            <w:vMerge w:val="continue"/>
          </w:tcPr>
          <w:p>
            <w:pPr>
              <w:spacing w:after="0"/>
              <w:rPr>
                <w:sz w:val="13"/>
                <w:szCs w:val="13"/>
                <w:color w:val="auto"/>
              </w:rPr>
            </w:pPr>
          </w:p>
        </w:tc>
        <w:tc>
          <w:tcPr>
            <w:tcW w:w="160" w:type="dxa"/>
            <w:vAlign w:val="bottom"/>
            <w:vMerge w:val="continue"/>
          </w:tcPr>
          <w:p>
            <w:pPr>
              <w:spacing w:after="0"/>
              <w:rPr>
                <w:sz w:val="13"/>
                <w:szCs w:val="13"/>
                <w:color w:val="auto"/>
              </w:rPr>
            </w:pPr>
          </w:p>
        </w:tc>
        <w:tc>
          <w:tcPr>
            <w:tcW w:w="660" w:type="dxa"/>
            <w:vAlign w:val="bottom"/>
            <w:vMerge w:val="continue"/>
          </w:tcPr>
          <w:p>
            <w:pPr>
              <w:spacing w:after="0"/>
              <w:rPr>
                <w:sz w:val="13"/>
                <w:szCs w:val="13"/>
                <w:color w:val="auto"/>
              </w:rPr>
            </w:pPr>
          </w:p>
        </w:tc>
        <w:tc>
          <w:tcPr>
            <w:tcW w:w="160" w:type="dxa"/>
            <w:vAlign w:val="bottom"/>
            <w:vMerge w:val="continue"/>
          </w:tcPr>
          <w:p>
            <w:pPr>
              <w:spacing w:after="0"/>
              <w:rPr>
                <w:sz w:val="13"/>
                <w:szCs w:val="13"/>
                <w:color w:val="auto"/>
              </w:rPr>
            </w:pPr>
          </w:p>
        </w:tc>
        <w:tc>
          <w:tcPr>
            <w:tcW w:w="840" w:type="dxa"/>
            <w:vAlign w:val="bottom"/>
            <w:gridSpan w:val="2"/>
            <w:vMerge w:val="continue"/>
          </w:tcPr>
          <w:p>
            <w:pPr>
              <w:spacing w:after="0"/>
              <w:rPr>
                <w:sz w:val="13"/>
                <w:szCs w:val="13"/>
                <w:color w:val="auto"/>
              </w:rPr>
            </w:pPr>
          </w:p>
        </w:tc>
        <w:tc>
          <w:tcPr>
            <w:tcW w:w="840" w:type="dxa"/>
            <w:vAlign w:val="bottom"/>
            <w:gridSpan w:val="2"/>
            <w:vMerge w:val="continue"/>
          </w:tcPr>
          <w:p>
            <w:pPr>
              <w:spacing w:after="0"/>
              <w:rPr>
                <w:sz w:val="13"/>
                <w:szCs w:val="13"/>
                <w:color w:val="auto"/>
              </w:rPr>
            </w:pPr>
          </w:p>
        </w:tc>
        <w:tc>
          <w:tcPr>
            <w:tcW w:w="940" w:type="dxa"/>
            <w:vAlign w:val="bottom"/>
            <w:gridSpan w:val="2"/>
            <w:vMerge w:val="continue"/>
          </w:tcPr>
          <w:p>
            <w:pPr>
              <w:spacing w:after="0"/>
              <w:rPr>
                <w:sz w:val="13"/>
                <w:szCs w:val="13"/>
                <w:color w:val="auto"/>
              </w:rPr>
            </w:pPr>
          </w:p>
        </w:tc>
        <w:tc>
          <w:tcPr>
            <w:tcW w:w="820" w:type="dxa"/>
            <w:vAlign w:val="bottom"/>
            <w:gridSpan w:val="2"/>
            <w:vMerge w:val="continue"/>
          </w:tcPr>
          <w:p>
            <w:pPr>
              <w:spacing w:after="0"/>
              <w:rPr>
                <w:sz w:val="13"/>
                <w:szCs w:val="13"/>
                <w:color w:val="auto"/>
              </w:rPr>
            </w:pPr>
          </w:p>
        </w:tc>
        <w:tc>
          <w:tcPr>
            <w:tcW w:w="980" w:type="dxa"/>
            <w:vAlign w:val="bottom"/>
            <w:gridSpan w:val="2"/>
            <w:vMerge w:val="continue"/>
          </w:tcPr>
          <w:p>
            <w:pPr>
              <w:spacing w:after="0"/>
              <w:rPr>
                <w:sz w:val="13"/>
                <w:szCs w:val="13"/>
                <w:color w:val="auto"/>
              </w:rPr>
            </w:pPr>
          </w:p>
        </w:tc>
        <w:tc>
          <w:tcPr>
            <w:tcW w:w="1080" w:type="dxa"/>
            <w:vAlign w:val="bottom"/>
            <w:gridSpan w:val="2"/>
            <w:vMerge w:val="continue"/>
          </w:tcPr>
          <w:p>
            <w:pPr>
              <w:spacing w:after="0"/>
              <w:rPr>
                <w:sz w:val="13"/>
                <w:szCs w:val="13"/>
                <w:color w:val="auto"/>
              </w:rPr>
            </w:pPr>
          </w:p>
        </w:tc>
        <w:tc>
          <w:tcPr>
            <w:tcW w:w="1000" w:type="dxa"/>
            <w:vAlign w:val="bottom"/>
            <w:gridSpan w:val="2"/>
            <w:vMerge w:val="continue"/>
          </w:tcPr>
          <w:p>
            <w:pPr>
              <w:spacing w:after="0"/>
              <w:rPr>
                <w:sz w:val="13"/>
                <w:szCs w:val="13"/>
                <w:color w:val="auto"/>
              </w:rPr>
            </w:pPr>
          </w:p>
        </w:tc>
        <w:tc>
          <w:tcPr>
            <w:tcW w:w="860" w:type="dxa"/>
            <w:vAlign w:val="bottom"/>
            <w:gridSpan w:val="2"/>
            <w:vMerge w:val="continue"/>
          </w:tcPr>
          <w:p>
            <w:pPr>
              <w:spacing w:after="0"/>
              <w:rPr>
                <w:sz w:val="13"/>
                <w:szCs w:val="13"/>
                <w:color w:val="auto"/>
              </w:rPr>
            </w:pPr>
          </w:p>
        </w:tc>
        <w:tc>
          <w:tcPr>
            <w:tcW w:w="800" w:type="dxa"/>
            <w:vAlign w:val="bottom"/>
            <w:vMerge w:val="continue"/>
          </w:tcPr>
          <w:p>
            <w:pPr>
              <w:spacing w:after="0"/>
              <w:rPr>
                <w:sz w:val="13"/>
                <w:szCs w:val="13"/>
                <w:color w:val="auto"/>
              </w:rPr>
            </w:pPr>
          </w:p>
        </w:tc>
        <w:tc>
          <w:tcPr>
            <w:tcW w:w="1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1300" w:type="dxa"/>
            <w:vAlign w:val="bottom"/>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jc w:val="right"/>
        <w:spacing w:after="0"/>
        <w:rPr>
          <w:sz w:val="20"/>
          <w:szCs w:val="20"/>
          <w:color w:val="auto"/>
        </w:rPr>
      </w:pPr>
      <w:r>
        <w:rPr>
          <w:rFonts w:ascii="Arial" w:cs="Arial" w:eastAsia="Arial" w:hAnsi="Arial"/>
          <w:sz w:val="22"/>
          <w:szCs w:val="22"/>
          <w:color w:val="auto"/>
        </w:rPr>
        <w:t>(continued)</w:t>
      </w:r>
    </w:p>
    <w:p>
      <w:pPr>
        <w:spacing w:after="0" w:line="1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8" w:name="page9"/>
    <w:bookmarkEnd w:id="8"/>
    <w:tbl>
      <w:tblPr>
        <w:tblLayout w:type="fixed"/>
        <w:tblInd w:w="0" w:type="dxa"/>
        <w:tblCellMar>
          <w:top w:w="0" w:type="dxa"/>
          <w:left w:w="0" w:type="dxa"/>
          <w:bottom w:w="0" w:type="dxa"/>
          <w:right w:w="0" w:type="dxa"/>
        </w:tblCellMar>
      </w:tblPr>
      <w:tr>
        <w:trPr>
          <w:trHeight w:val="161"/>
        </w:trPr>
        <w:tc>
          <w:tcPr>
            <w:tcW w:w="9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0" w:type="dxa"/>
            <w:vAlign w:val="bottom"/>
            <w:gridSpan w:val="2"/>
          </w:tcPr>
          <w:p>
            <w:pPr>
              <w:jc w:val="right"/>
              <w:ind w:right="480"/>
              <w:spacing w:after="0"/>
              <w:rPr>
                <w:sz w:val="20"/>
                <w:szCs w:val="20"/>
                <w:color w:val="auto"/>
              </w:rPr>
            </w:pPr>
            <w:r>
              <w:rPr>
                <w:rFonts w:ascii="Arial" w:cs="Arial" w:eastAsia="Arial" w:hAnsi="Arial"/>
                <w:sz w:val="14"/>
                <w:szCs w:val="14"/>
                <w:color w:val="auto"/>
              </w:rPr>
              <w:t>Total</w:t>
            </w:r>
          </w:p>
        </w:tc>
        <w:tc>
          <w:tcPr>
            <w:tcW w:w="6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40" w:type="dxa"/>
            <w:vAlign w:val="bottom"/>
            <w:gridSpan w:val="2"/>
          </w:tcPr>
          <w:p>
            <w:pPr>
              <w:jc w:val="center"/>
              <w:ind w:right="180"/>
              <w:spacing w:after="0" w:line="149" w:lineRule="exact"/>
              <w:rPr>
                <w:sz w:val="20"/>
                <w:szCs w:val="20"/>
                <w:color w:val="auto"/>
              </w:rPr>
            </w:pPr>
            <w:r>
              <w:rPr>
                <w:rFonts w:ascii="Arial" w:cs="Arial" w:eastAsia="Arial" w:hAnsi="Arial"/>
                <w:sz w:val="14"/>
                <w:szCs w:val="14"/>
                <w:color w:val="auto"/>
                <w:w w:val="96"/>
              </w:rPr>
              <w:t>Statutory</w:t>
            </w: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3"/>
              </w:rPr>
              <w:t>Accumulated</w:t>
            </w:r>
          </w:p>
        </w:tc>
        <w:tc>
          <w:tcPr>
            <w:tcW w:w="1000" w:type="dxa"/>
            <w:vAlign w:val="bottom"/>
            <w:gridSpan w:val="2"/>
          </w:tcPr>
          <w:p>
            <w:pPr>
              <w:jc w:val="center"/>
              <w:ind w:right="200"/>
              <w:spacing w:after="0" w:line="149" w:lineRule="exact"/>
              <w:rPr>
                <w:sz w:val="20"/>
                <w:szCs w:val="20"/>
                <w:color w:val="auto"/>
              </w:rPr>
            </w:pPr>
            <w:r>
              <w:rPr>
                <w:rFonts w:ascii="Arial" w:cs="Arial" w:eastAsia="Arial" w:hAnsi="Arial"/>
                <w:sz w:val="14"/>
                <w:szCs w:val="14"/>
                <w:color w:val="auto"/>
                <w:w w:val="92"/>
              </w:rPr>
              <w:t>Nocera Inc.’s</w:t>
            </w: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92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6"/>
              </w:rPr>
              <w:t>Total</w:t>
            </w:r>
          </w:p>
        </w:tc>
        <w:tc>
          <w:tcPr>
            <w:tcW w:w="0" w:type="dxa"/>
            <w:vAlign w:val="bottom"/>
          </w:tcPr>
          <w:p>
            <w:pPr>
              <w:spacing w:after="0"/>
              <w:rPr>
                <w:sz w:val="1"/>
                <w:szCs w:val="1"/>
                <w:color w:val="auto"/>
              </w:rPr>
            </w:pPr>
          </w:p>
        </w:tc>
      </w:tr>
      <w:tr>
        <w:trPr>
          <w:trHeight w:val="148"/>
        </w:trPr>
        <w:tc>
          <w:tcPr>
            <w:tcW w:w="96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20" w:type="dxa"/>
            <w:vAlign w:val="bottom"/>
            <w:gridSpan w:val="2"/>
          </w:tcPr>
          <w:p>
            <w:pPr>
              <w:jc w:val="center"/>
              <w:ind w:right="200"/>
              <w:spacing w:after="0" w:line="149" w:lineRule="exact"/>
              <w:rPr>
                <w:sz w:val="20"/>
                <w:szCs w:val="20"/>
                <w:color w:val="auto"/>
              </w:rPr>
            </w:pPr>
            <w:r>
              <w:rPr>
                <w:rFonts w:ascii="Arial" w:cs="Arial" w:eastAsia="Arial" w:hAnsi="Arial"/>
                <w:sz w:val="14"/>
                <w:szCs w:val="14"/>
                <w:color w:val="auto"/>
                <w:w w:val="97"/>
              </w:rPr>
              <w:t>Additional</w:t>
            </w:r>
          </w:p>
        </w:tc>
        <w:tc>
          <w:tcPr>
            <w:tcW w:w="840" w:type="dxa"/>
            <w:vAlign w:val="bottom"/>
            <w:gridSpan w:val="2"/>
          </w:tcPr>
          <w:p>
            <w:pPr>
              <w:ind w:left="200"/>
              <w:spacing w:after="0" w:line="149" w:lineRule="exact"/>
              <w:rPr>
                <w:sz w:val="20"/>
                <w:szCs w:val="20"/>
                <w:color w:val="auto"/>
              </w:rPr>
            </w:pPr>
            <w:r>
              <w:rPr>
                <w:rFonts w:ascii="Arial" w:cs="Arial" w:eastAsia="Arial" w:hAnsi="Arial"/>
                <w:sz w:val="14"/>
                <w:szCs w:val="14"/>
                <w:color w:val="auto"/>
              </w:rPr>
              <w:t>and</w:t>
            </w: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0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1"/>
              </w:rPr>
              <w:t>Other</w:t>
            </w:r>
          </w:p>
        </w:tc>
        <w:tc>
          <w:tcPr>
            <w:tcW w:w="1000" w:type="dxa"/>
            <w:vAlign w:val="bottom"/>
            <w:gridSpan w:val="2"/>
          </w:tcPr>
          <w:p>
            <w:pPr>
              <w:jc w:val="center"/>
              <w:ind w:right="200"/>
              <w:spacing w:after="0" w:line="149" w:lineRule="exact"/>
              <w:rPr>
                <w:sz w:val="20"/>
                <w:szCs w:val="20"/>
                <w:color w:val="auto"/>
              </w:rPr>
            </w:pPr>
            <w:r>
              <w:rPr>
                <w:rFonts w:ascii="Arial" w:cs="Arial" w:eastAsia="Arial" w:hAnsi="Arial"/>
                <w:sz w:val="14"/>
                <w:szCs w:val="14"/>
                <w:color w:val="auto"/>
                <w:w w:val="95"/>
              </w:rPr>
              <w:t>Stockholders’</w:t>
            </w:r>
          </w:p>
        </w:tc>
        <w:tc>
          <w:tcPr>
            <w:tcW w:w="880" w:type="dxa"/>
            <w:vAlign w:val="bottom"/>
            <w:gridSpan w:val="2"/>
          </w:tcPr>
          <w:p>
            <w:pPr>
              <w:jc w:val="center"/>
              <w:ind w:right="220"/>
              <w:spacing w:after="0" w:line="149" w:lineRule="exact"/>
              <w:rPr>
                <w:sz w:val="20"/>
                <w:szCs w:val="20"/>
                <w:color w:val="auto"/>
              </w:rPr>
            </w:pPr>
            <w:r>
              <w:rPr>
                <w:rFonts w:ascii="Arial" w:cs="Arial" w:eastAsia="Arial" w:hAnsi="Arial"/>
                <w:sz w:val="14"/>
                <w:szCs w:val="14"/>
                <w:color w:val="auto"/>
                <w:w w:val="98"/>
              </w:rPr>
              <w:t>Non-</w:t>
            </w:r>
          </w:p>
        </w:tc>
        <w:tc>
          <w:tcPr>
            <w:tcW w:w="920" w:type="dxa"/>
            <w:vAlign w:val="bottom"/>
            <w:gridSpan w:val="2"/>
          </w:tcPr>
          <w:p>
            <w:pPr>
              <w:jc w:val="center"/>
              <w:ind w:right="120"/>
              <w:spacing w:after="0" w:line="149" w:lineRule="exact"/>
              <w:rPr>
                <w:sz w:val="20"/>
                <w:szCs w:val="20"/>
                <w:color w:val="auto"/>
              </w:rPr>
            </w:pPr>
            <w:r>
              <w:rPr>
                <w:rFonts w:ascii="Arial" w:cs="Arial" w:eastAsia="Arial" w:hAnsi="Arial"/>
                <w:sz w:val="14"/>
                <w:szCs w:val="14"/>
                <w:color w:val="auto"/>
                <w:w w:val="95"/>
              </w:rPr>
              <w:t>Stockholders’</w:t>
            </w:r>
          </w:p>
        </w:tc>
        <w:tc>
          <w:tcPr>
            <w:tcW w:w="0" w:type="dxa"/>
            <w:vAlign w:val="bottom"/>
          </w:tcPr>
          <w:p>
            <w:pPr>
              <w:spacing w:after="0"/>
              <w:rPr>
                <w:sz w:val="1"/>
                <w:szCs w:val="1"/>
                <w:color w:val="auto"/>
              </w:rPr>
            </w:pPr>
          </w:p>
        </w:tc>
      </w:tr>
      <w:tr>
        <w:trPr>
          <w:trHeight w:val="181"/>
        </w:trPr>
        <w:tc>
          <w:tcPr>
            <w:tcW w:w="960" w:type="dxa"/>
            <w:vAlign w:val="bottom"/>
          </w:tcPr>
          <w:p>
            <w:pPr>
              <w:spacing w:after="0"/>
              <w:rPr>
                <w:sz w:val="15"/>
                <w:szCs w:val="15"/>
                <w:color w:val="auto"/>
              </w:rPr>
            </w:pPr>
          </w:p>
        </w:tc>
        <w:tc>
          <w:tcPr>
            <w:tcW w:w="1820" w:type="dxa"/>
            <w:vAlign w:val="bottom"/>
            <w:gridSpan w:val="4"/>
          </w:tcPr>
          <w:p>
            <w:pPr>
              <w:jc w:val="right"/>
              <w:ind w:right="560"/>
              <w:spacing w:after="0"/>
              <w:rPr>
                <w:sz w:val="20"/>
                <w:szCs w:val="20"/>
                <w:color w:val="auto"/>
              </w:rPr>
            </w:pPr>
            <w:r>
              <w:rPr>
                <w:rFonts w:ascii="Arial" w:cs="Arial" w:eastAsia="Arial" w:hAnsi="Arial"/>
                <w:sz w:val="14"/>
                <w:szCs w:val="14"/>
                <w:color w:val="auto"/>
              </w:rPr>
              <w:t>Common Stock</w:t>
            </w:r>
          </w:p>
        </w:tc>
        <w:tc>
          <w:tcPr>
            <w:tcW w:w="1800" w:type="dxa"/>
            <w:vAlign w:val="bottom"/>
            <w:gridSpan w:val="4"/>
          </w:tcPr>
          <w:p>
            <w:pPr>
              <w:jc w:val="right"/>
              <w:ind w:right="560"/>
              <w:spacing w:after="0"/>
              <w:rPr>
                <w:sz w:val="20"/>
                <w:szCs w:val="20"/>
                <w:color w:val="auto"/>
              </w:rPr>
            </w:pPr>
            <w:r>
              <w:rPr>
                <w:rFonts w:ascii="Arial" w:cs="Arial" w:eastAsia="Arial" w:hAnsi="Arial"/>
                <w:sz w:val="14"/>
                <w:szCs w:val="14"/>
                <w:color w:val="auto"/>
              </w:rPr>
              <w:t>Preferred stock</w:t>
            </w:r>
          </w:p>
        </w:tc>
        <w:tc>
          <w:tcPr>
            <w:tcW w:w="920" w:type="dxa"/>
            <w:vAlign w:val="bottom"/>
            <w:gridSpan w:val="2"/>
          </w:tcPr>
          <w:p>
            <w:pPr>
              <w:jc w:val="center"/>
              <w:ind w:right="180"/>
              <w:spacing w:after="0"/>
              <w:rPr>
                <w:sz w:val="20"/>
                <w:szCs w:val="20"/>
                <w:color w:val="auto"/>
              </w:rPr>
            </w:pPr>
            <w:r>
              <w:rPr>
                <w:rFonts w:ascii="Arial" w:cs="Arial" w:eastAsia="Arial" w:hAnsi="Arial"/>
                <w:sz w:val="14"/>
                <w:szCs w:val="14"/>
                <w:color w:val="auto"/>
                <w:w w:val="96"/>
              </w:rPr>
              <w:t>Paid-in</w:t>
            </w:r>
          </w:p>
        </w:tc>
        <w:tc>
          <w:tcPr>
            <w:tcW w:w="840" w:type="dxa"/>
            <w:vAlign w:val="bottom"/>
            <w:gridSpan w:val="2"/>
          </w:tcPr>
          <w:p>
            <w:pPr>
              <w:jc w:val="center"/>
              <w:ind w:right="180"/>
              <w:spacing w:after="0"/>
              <w:rPr>
                <w:sz w:val="20"/>
                <w:szCs w:val="20"/>
                <w:color w:val="auto"/>
              </w:rPr>
            </w:pPr>
            <w:r>
              <w:rPr>
                <w:rFonts w:ascii="Arial" w:cs="Arial" w:eastAsia="Arial" w:hAnsi="Arial"/>
                <w:sz w:val="14"/>
                <w:szCs w:val="14"/>
                <w:color w:val="auto"/>
                <w:w w:val="93"/>
              </w:rPr>
              <w:t>other</w:t>
            </w:r>
          </w:p>
        </w:tc>
        <w:tc>
          <w:tcPr>
            <w:tcW w:w="920" w:type="dxa"/>
            <w:vAlign w:val="bottom"/>
            <w:gridSpan w:val="2"/>
          </w:tcPr>
          <w:p>
            <w:pPr>
              <w:jc w:val="center"/>
              <w:ind w:right="120"/>
              <w:spacing w:after="0"/>
              <w:rPr>
                <w:sz w:val="20"/>
                <w:szCs w:val="20"/>
                <w:color w:val="auto"/>
              </w:rPr>
            </w:pPr>
            <w:r>
              <w:rPr>
                <w:rFonts w:ascii="Arial" w:cs="Arial" w:eastAsia="Arial" w:hAnsi="Arial"/>
                <w:sz w:val="14"/>
                <w:szCs w:val="14"/>
                <w:color w:val="auto"/>
                <w:w w:val="92"/>
              </w:rPr>
              <w:t>Retained</w:t>
            </w:r>
          </w:p>
        </w:tc>
        <w:tc>
          <w:tcPr>
            <w:tcW w:w="1180" w:type="dxa"/>
            <w:vAlign w:val="bottom"/>
            <w:gridSpan w:val="3"/>
          </w:tcPr>
          <w:p>
            <w:pPr>
              <w:jc w:val="center"/>
              <w:ind w:right="120"/>
              <w:spacing w:after="0"/>
              <w:rPr>
                <w:sz w:val="20"/>
                <w:szCs w:val="20"/>
                <w:color w:val="auto"/>
              </w:rPr>
            </w:pPr>
            <w:r>
              <w:rPr>
                <w:rFonts w:ascii="Arial" w:cs="Arial" w:eastAsia="Arial" w:hAnsi="Arial"/>
                <w:sz w:val="14"/>
                <w:szCs w:val="14"/>
                <w:color w:val="auto"/>
                <w:w w:val="91"/>
              </w:rPr>
              <w:t>Comprehensive</w:t>
            </w:r>
          </w:p>
        </w:tc>
        <w:tc>
          <w:tcPr>
            <w:tcW w:w="1000" w:type="dxa"/>
            <w:vAlign w:val="bottom"/>
            <w:gridSpan w:val="2"/>
          </w:tcPr>
          <w:p>
            <w:pPr>
              <w:jc w:val="center"/>
              <w:ind w:right="220"/>
              <w:spacing w:after="0"/>
              <w:rPr>
                <w:sz w:val="20"/>
                <w:szCs w:val="20"/>
                <w:color w:val="auto"/>
              </w:rPr>
            </w:pPr>
            <w:r>
              <w:rPr>
                <w:rFonts w:ascii="Arial" w:cs="Arial" w:eastAsia="Arial" w:hAnsi="Arial"/>
                <w:sz w:val="14"/>
                <w:szCs w:val="14"/>
                <w:color w:val="auto"/>
                <w:w w:val="97"/>
              </w:rPr>
              <w:t>Equity</w:t>
            </w:r>
          </w:p>
        </w:tc>
        <w:tc>
          <w:tcPr>
            <w:tcW w:w="880" w:type="dxa"/>
            <w:vAlign w:val="bottom"/>
            <w:gridSpan w:val="2"/>
          </w:tcPr>
          <w:p>
            <w:pPr>
              <w:jc w:val="center"/>
              <w:ind w:right="200"/>
              <w:spacing w:after="0"/>
              <w:rPr>
                <w:sz w:val="20"/>
                <w:szCs w:val="20"/>
                <w:color w:val="auto"/>
              </w:rPr>
            </w:pPr>
            <w:r>
              <w:rPr>
                <w:rFonts w:ascii="Arial" w:cs="Arial" w:eastAsia="Arial" w:hAnsi="Arial"/>
                <w:sz w:val="14"/>
                <w:szCs w:val="14"/>
                <w:color w:val="auto"/>
              </w:rPr>
              <w:t>controlling</w:t>
            </w: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w w:val="97"/>
              </w:rPr>
              <w:t>Equity</w:t>
            </w:r>
          </w:p>
        </w:tc>
        <w:tc>
          <w:tcPr>
            <w:tcW w:w="0" w:type="dxa"/>
            <w:vAlign w:val="bottom"/>
          </w:tcPr>
          <w:p>
            <w:pPr>
              <w:spacing w:after="0"/>
              <w:rPr>
                <w:sz w:val="1"/>
                <w:szCs w:val="1"/>
                <w:color w:val="auto"/>
              </w:rPr>
            </w:pPr>
          </w:p>
        </w:tc>
      </w:tr>
      <w:tr>
        <w:trPr>
          <w:trHeight w:val="155"/>
        </w:trPr>
        <w:tc>
          <w:tcPr>
            <w:tcW w:w="960" w:type="dxa"/>
            <w:vAlign w:val="bottom"/>
          </w:tcPr>
          <w:p>
            <w:pPr>
              <w:spacing w:after="0"/>
              <w:rPr>
                <w:sz w:val="13"/>
                <w:szCs w:val="13"/>
                <w:color w:val="auto"/>
              </w:rPr>
            </w:pPr>
          </w:p>
        </w:tc>
        <w:tc>
          <w:tcPr>
            <w:tcW w:w="940" w:type="dxa"/>
            <w:vAlign w:val="bottom"/>
            <w:tcBorders>
              <w:top w:val="single" w:sz="8" w:color="auto"/>
            </w:tcBorders>
            <w:gridSpan w:val="2"/>
          </w:tcPr>
          <w:p>
            <w:pPr>
              <w:jc w:val="right"/>
              <w:ind w:right="400"/>
              <w:spacing w:after="0" w:line="155" w:lineRule="exact"/>
              <w:rPr>
                <w:sz w:val="20"/>
                <w:szCs w:val="20"/>
                <w:color w:val="auto"/>
              </w:rPr>
            </w:pPr>
            <w:r>
              <w:rPr>
                <w:rFonts w:ascii="Arial" w:cs="Arial" w:eastAsia="Arial" w:hAnsi="Arial"/>
                <w:sz w:val="14"/>
                <w:szCs w:val="14"/>
                <w:color w:val="auto"/>
              </w:rPr>
              <w:t>Stock</w:t>
            </w:r>
          </w:p>
        </w:tc>
        <w:tc>
          <w:tcPr>
            <w:tcW w:w="680" w:type="dxa"/>
            <w:vAlign w:val="bottom"/>
            <w:tcBorders>
              <w:top w:val="single" w:sz="8" w:color="auto"/>
            </w:tcBorders>
          </w:tcPr>
          <w:p>
            <w:pPr>
              <w:jc w:val="right"/>
              <w:ind w:right="28"/>
              <w:spacing w:after="0" w:line="155" w:lineRule="exact"/>
              <w:rPr>
                <w:sz w:val="20"/>
                <w:szCs w:val="20"/>
                <w:color w:val="auto"/>
              </w:rPr>
            </w:pPr>
            <w:r>
              <w:rPr>
                <w:rFonts w:ascii="Arial" w:cs="Arial" w:eastAsia="Arial" w:hAnsi="Arial"/>
                <w:sz w:val="14"/>
                <w:szCs w:val="14"/>
                <w:color w:val="auto"/>
              </w:rPr>
              <w:t>Amount</w:t>
            </w:r>
          </w:p>
        </w:tc>
        <w:tc>
          <w:tcPr>
            <w:tcW w:w="200" w:type="dxa"/>
            <w:vAlign w:val="bottom"/>
          </w:tcPr>
          <w:p>
            <w:pPr>
              <w:spacing w:after="0"/>
              <w:rPr>
                <w:sz w:val="13"/>
                <w:szCs w:val="13"/>
                <w:color w:val="auto"/>
              </w:rPr>
            </w:pPr>
          </w:p>
        </w:tc>
        <w:tc>
          <w:tcPr>
            <w:tcW w:w="880" w:type="dxa"/>
            <w:vAlign w:val="bottom"/>
            <w:tcBorders>
              <w:top w:val="single" w:sz="8" w:color="auto"/>
            </w:tcBorders>
            <w:gridSpan w:val="2"/>
          </w:tcPr>
          <w:p>
            <w:pPr>
              <w:ind w:left="180"/>
              <w:spacing w:after="0" w:line="155" w:lineRule="exact"/>
              <w:rPr>
                <w:sz w:val="20"/>
                <w:szCs w:val="20"/>
                <w:color w:val="auto"/>
              </w:rPr>
            </w:pPr>
            <w:r>
              <w:rPr>
                <w:rFonts w:ascii="Arial" w:cs="Arial" w:eastAsia="Arial" w:hAnsi="Arial"/>
                <w:sz w:val="14"/>
                <w:szCs w:val="14"/>
                <w:color w:val="auto"/>
              </w:rPr>
              <w:t>Stock</w:t>
            </w:r>
          </w:p>
        </w:tc>
        <w:tc>
          <w:tcPr>
            <w:tcW w:w="720" w:type="dxa"/>
            <w:vAlign w:val="bottom"/>
            <w:tcBorders>
              <w:top w:val="single" w:sz="8" w:color="auto"/>
            </w:tcBorders>
          </w:tcPr>
          <w:p>
            <w:pPr>
              <w:jc w:val="right"/>
              <w:ind w:right="48"/>
              <w:spacing w:after="0" w:line="155" w:lineRule="exact"/>
              <w:rPr>
                <w:sz w:val="20"/>
                <w:szCs w:val="20"/>
                <w:color w:val="auto"/>
              </w:rPr>
            </w:pPr>
            <w:r>
              <w:rPr>
                <w:rFonts w:ascii="Arial" w:cs="Arial" w:eastAsia="Arial" w:hAnsi="Arial"/>
                <w:sz w:val="14"/>
                <w:szCs w:val="14"/>
                <w:color w:val="auto"/>
              </w:rPr>
              <w:t>Amount</w:t>
            </w:r>
          </w:p>
        </w:tc>
        <w:tc>
          <w:tcPr>
            <w:tcW w:w="200" w:type="dxa"/>
            <w:vAlign w:val="bottom"/>
          </w:tcPr>
          <w:p>
            <w:pPr>
              <w:spacing w:after="0"/>
              <w:rPr>
                <w:sz w:val="13"/>
                <w:szCs w:val="13"/>
                <w:color w:val="auto"/>
              </w:rPr>
            </w:pPr>
          </w:p>
        </w:tc>
        <w:tc>
          <w:tcPr>
            <w:tcW w:w="920" w:type="dxa"/>
            <w:vAlign w:val="bottom"/>
            <w:gridSpan w:val="2"/>
          </w:tcPr>
          <w:p>
            <w:pPr>
              <w:jc w:val="center"/>
              <w:ind w:right="180"/>
              <w:spacing w:after="0" w:line="155" w:lineRule="exact"/>
              <w:rPr>
                <w:sz w:val="20"/>
                <w:szCs w:val="20"/>
                <w:color w:val="auto"/>
              </w:rPr>
            </w:pPr>
            <w:r>
              <w:rPr>
                <w:rFonts w:ascii="Arial" w:cs="Arial" w:eastAsia="Arial" w:hAnsi="Arial"/>
                <w:sz w:val="14"/>
                <w:szCs w:val="14"/>
                <w:color w:val="auto"/>
                <w:w w:val="96"/>
              </w:rPr>
              <w:t>Capital</w:t>
            </w:r>
          </w:p>
        </w:tc>
        <w:tc>
          <w:tcPr>
            <w:tcW w:w="840" w:type="dxa"/>
            <w:vAlign w:val="bottom"/>
            <w:gridSpan w:val="2"/>
          </w:tcPr>
          <w:p>
            <w:pPr>
              <w:jc w:val="center"/>
              <w:ind w:right="200"/>
              <w:spacing w:after="0" w:line="155" w:lineRule="exact"/>
              <w:rPr>
                <w:sz w:val="20"/>
                <w:szCs w:val="20"/>
                <w:color w:val="auto"/>
              </w:rPr>
            </w:pPr>
            <w:r>
              <w:rPr>
                <w:rFonts w:ascii="Arial" w:cs="Arial" w:eastAsia="Arial" w:hAnsi="Arial"/>
                <w:sz w:val="14"/>
                <w:szCs w:val="14"/>
                <w:color w:val="auto"/>
                <w:w w:val="87"/>
              </w:rPr>
              <w:t>Reserves</w:t>
            </w:r>
          </w:p>
        </w:tc>
        <w:tc>
          <w:tcPr>
            <w:tcW w:w="920" w:type="dxa"/>
            <w:vAlign w:val="bottom"/>
            <w:gridSpan w:val="2"/>
          </w:tcPr>
          <w:p>
            <w:pPr>
              <w:jc w:val="center"/>
              <w:ind w:right="120"/>
              <w:spacing w:after="0" w:line="155" w:lineRule="exact"/>
              <w:rPr>
                <w:sz w:val="20"/>
                <w:szCs w:val="20"/>
                <w:color w:val="auto"/>
              </w:rPr>
            </w:pPr>
            <w:r>
              <w:rPr>
                <w:rFonts w:ascii="Arial" w:cs="Arial" w:eastAsia="Arial" w:hAnsi="Arial"/>
                <w:sz w:val="14"/>
                <w:szCs w:val="14"/>
                <w:color w:val="auto"/>
                <w:w w:val="94"/>
              </w:rPr>
              <w:t>Earnings</w:t>
            </w:r>
          </w:p>
        </w:tc>
        <w:tc>
          <w:tcPr>
            <w:tcW w:w="80" w:type="dxa"/>
            <w:vAlign w:val="bottom"/>
          </w:tcPr>
          <w:p>
            <w:pPr>
              <w:spacing w:after="0"/>
              <w:rPr>
                <w:sz w:val="13"/>
                <w:szCs w:val="13"/>
                <w:color w:val="auto"/>
              </w:rPr>
            </w:pPr>
          </w:p>
        </w:tc>
        <w:tc>
          <w:tcPr>
            <w:tcW w:w="1100" w:type="dxa"/>
            <w:vAlign w:val="bottom"/>
            <w:gridSpan w:val="2"/>
          </w:tcPr>
          <w:p>
            <w:pPr>
              <w:jc w:val="center"/>
              <w:ind w:right="220"/>
              <w:spacing w:after="0" w:line="155" w:lineRule="exact"/>
              <w:rPr>
                <w:sz w:val="20"/>
                <w:szCs w:val="20"/>
                <w:color w:val="auto"/>
              </w:rPr>
            </w:pPr>
            <w:r>
              <w:rPr>
                <w:rFonts w:ascii="Arial" w:cs="Arial" w:eastAsia="Arial" w:hAnsi="Arial"/>
                <w:sz w:val="14"/>
                <w:szCs w:val="14"/>
                <w:color w:val="auto"/>
                <w:w w:val="94"/>
              </w:rPr>
              <w:t>Loss</w:t>
            </w:r>
          </w:p>
        </w:tc>
        <w:tc>
          <w:tcPr>
            <w:tcW w:w="1000" w:type="dxa"/>
            <w:vAlign w:val="bottom"/>
            <w:gridSpan w:val="2"/>
          </w:tcPr>
          <w:p>
            <w:pPr>
              <w:jc w:val="center"/>
              <w:ind w:right="220"/>
              <w:spacing w:after="0" w:line="155" w:lineRule="exact"/>
              <w:rPr>
                <w:sz w:val="20"/>
                <w:szCs w:val="20"/>
                <w:color w:val="auto"/>
              </w:rPr>
            </w:pPr>
            <w:r>
              <w:rPr>
                <w:rFonts w:ascii="Arial" w:cs="Arial" w:eastAsia="Arial" w:hAnsi="Arial"/>
                <w:sz w:val="14"/>
                <w:szCs w:val="14"/>
                <w:color w:val="auto"/>
              </w:rPr>
              <w:t>(Deficit)</w:t>
            </w:r>
          </w:p>
        </w:tc>
        <w:tc>
          <w:tcPr>
            <w:tcW w:w="880" w:type="dxa"/>
            <w:vAlign w:val="bottom"/>
            <w:gridSpan w:val="2"/>
          </w:tcPr>
          <w:p>
            <w:pPr>
              <w:jc w:val="center"/>
              <w:ind w:right="200"/>
              <w:spacing w:after="0" w:line="155" w:lineRule="exact"/>
              <w:rPr>
                <w:sz w:val="20"/>
                <w:szCs w:val="20"/>
                <w:color w:val="auto"/>
              </w:rPr>
            </w:pPr>
            <w:r>
              <w:rPr>
                <w:rFonts w:ascii="Arial" w:cs="Arial" w:eastAsia="Arial" w:hAnsi="Arial"/>
                <w:sz w:val="14"/>
                <w:szCs w:val="14"/>
                <w:color w:val="auto"/>
                <w:w w:val="89"/>
              </w:rPr>
              <w:t>Interests</w:t>
            </w:r>
          </w:p>
        </w:tc>
        <w:tc>
          <w:tcPr>
            <w:tcW w:w="920" w:type="dxa"/>
            <w:vAlign w:val="bottom"/>
            <w:gridSpan w:val="2"/>
          </w:tcPr>
          <w:p>
            <w:pPr>
              <w:jc w:val="center"/>
              <w:ind w:right="100"/>
              <w:spacing w:after="0" w:line="155" w:lineRule="exact"/>
              <w:rPr>
                <w:sz w:val="20"/>
                <w:szCs w:val="20"/>
                <w:color w:val="auto"/>
              </w:rPr>
            </w:pPr>
            <w:r>
              <w:rPr>
                <w:rFonts w:ascii="Arial" w:cs="Arial" w:eastAsia="Arial" w:hAnsi="Arial"/>
                <w:sz w:val="14"/>
                <w:szCs w:val="14"/>
                <w:color w:val="auto"/>
              </w:rPr>
              <w:t>(Deficit)</w:t>
            </w:r>
          </w:p>
        </w:tc>
        <w:tc>
          <w:tcPr>
            <w:tcW w:w="0" w:type="dxa"/>
            <w:vAlign w:val="bottom"/>
          </w:tcPr>
          <w:p>
            <w:pPr>
              <w:spacing w:after="0"/>
              <w:rPr>
                <w:sz w:val="1"/>
                <w:szCs w:val="1"/>
                <w:color w:val="auto"/>
              </w:rPr>
            </w:pPr>
          </w:p>
        </w:tc>
      </w:tr>
      <w:tr>
        <w:trPr>
          <w:trHeight w:val="142"/>
        </w:trPr>
        <w:tc>
          <w:tcPr>
            <w:tcW w:w="960" w:type="dxa"/>
            <w:vAlign w:val="bottom"/>
          </w:tcPr>
          <w:p>
            <w:pPr>
              <w:spacing w:after="0"/>
              <w:rPr>
                <w:sz w:val="12"/>
                <w:szCs w:val="12"/>
                <w:color w:val="auto"/>
              </w:rPr>
            </w:pPr>
          </w:p>
        </w:tc>
        <w:tc>
          <w:tcPr>
            <w:tcW w:w="74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Borders>
              <w:top w:val="single" w:sz="8" w:color="auto"/>
            </w:tcBorders>
          </w:tcPr>
          <w:p>
            <w:pPr>
              <w:jc w:val="right"/>
              <w:ind w:right="228"/>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70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Borders>
              <w:top w:val="single" w:sz="8" w:color="auto"/>
            </w:tcBorders>
          </w:tcPr>
          <w:p>
            <w:pPr>
              <w:jc w:val="right"/>
              <w:ind w:right="248"/>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74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6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18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66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220" w:type="dxa"/>
            <w:vAlign w:val="bottom"/>
          </w:tcPr>
          <w:p>
            <w:pPr>
              <w:spacing w:after="0"/>
              <w:rPr>
                <w:sz w:val="12"/>
                <w:szCs w:val="12"/>
                <w:color w:val="auto"/>
              </w:rPr>
            </w:pPr>
          </w:p>
        </w:tc>
        <w:tc>
          <w:tcPr>
            <w:tcW w:w="82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96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Balance,</w:t>
            </w: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8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0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 w:type="dxa"/>
            <w:vAlign w:val="bottom"/>
            <w:shd w:val="clear" w:color="auto" w:fill="EEEEEE"/>
          </w:tcPr>
          <w:p>
            <w:pPr>
              <w:spacing w:after="0"/>
              <w:rPr>
                <w:sz w:val="11"/>
                <w:szCs w:val="11"/>
                <w:color w:val="auto"/>
              </w:rPr>
            </w:pPr>
          </w:p>
        </w:tc>
        <w:tc>
          <w:tcPr>
            <w:tcW w:w="88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96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January 1,</w:t>
            </w: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8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88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960" w:type="dxa"/>
            <w:vAlign w:val="bottom"/>
            <w:shd w:val="clear" w:color="auto" w:fill="EEEEEE"/>
          </w:tcPr>
          <w:p>
            <w:pPr>
              <w:ind w:left="100"/>
              <w:spacing w:after="0"/>
              <w:rPr>
                <w:sz w:val="20"/>
                <w:szCs w:val="20"/>
                <w:color w:val="auto"/>
              </w:rPr>
            </w:pPr>
            <w:r>
              <w:rPr>
                <w:rFonts w:ascii="Arial" w:cs="Arial" w:eastAsia="Arial" w:hAnsi="Arial"/>
                <w:sz w:val="14"/>
                <w:szCs w:val="14"/>
                <w:color w:val="auto"/>
              </w:rPr>
              <w:t>2023</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9,243,587</w:t>
            </w:r>
          </w:p>
        </w:tc>
        <w:tc>
          <w:tcPr>
            <w:tcW w:w="88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9,243</w:t>
            </w:r>
          </w:p>
        </w:tc>
        <w:tc>
          <w:tcPr>
            <w:tcW w:w="8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80,000</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80</w:t>
            </w:r>
          </w:p>
        </w:tc>
        <w:tc>
          <w:tcPr>
            <w:tcW w:w="9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20,484,518</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191,219</w:t>
            </w:r>
          </w:p>
        </w:tc>
        <w:tc>
          <w:tcPr>
            <w:tcW w:w="92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(14,747,461)</w:t>
            </w:r>
          </w:p>
        </w:tc>
        <w:tc>
          <w:tcPr>
            <w:tcW w:w="1180" w:type="dxa"/>
            <w:vAlign w:val="bottom"/>
            <w:gridSpan w:val="3"/>
            <w:shd w:val="clear" w:color="auto" w:fill="EEEEEE"/>
          </w:tcPr>
          <w:p>
            <w:pPr>
              <w:jc w:val="right"/>
              <w:ind w:right="220"/>
              <w:spacing w:after="0"/>
              <w:rPr>
                <w:sz w:val="20"/>
                <w:szCs w:val="20"/>
                <w:color w:val="auto"/>
              </w:rPr>
            </w:pPr>
            <w:r>
              <w:rPr>
                <w:rFonts w:ascii="Arial" w:cs="Arial" w:eastAsia="Arial" w:hAnsi="Arial"/>
                <w:sz w:val="14"/>
                <w:szCs w:val="14"/>
                <w:color w:val="auto"/>
              </w:rPr>
              <w:t>103,594</w:t>
            </w:r>
          </w:p>
        </w:tc>
        <w:tc>
          <w:tcPr>
            <w:tcW w:w="10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6,041,193</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141,054</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6,182,247</w:t>
            </w:r>
          </w:p>
        </w:tc>
        <w:tc>
          <w:tcPr>
            <w:tcW w:w="0" w:type="dxa"/>
            <w:vAlign w:val="bottom"/>
          </w:tcPr>
          <w:p>
            <w:pPr>
              <w:spacing w:after="0"/>
              <w:rPr>
                <w:sz w:val="1"/>
                <w:szCs w:val="1"/>
                <w:color w:val="auto"/>
              </w:rPr>
            </w:pPr>
          </w:p>
        </w:tc>
      </w:tr>
      <w:tr>
        <w:trPr>
          <w:trHeight w:val="130"/>
        </w:trPr>
        <w:tc>
          <w:tcPr>
            <w:tcW w:w="960" w:type="dxa"/>
            <w:vAlign w:val="bottom"/>
          </w:tcPr>
          <w:p>
            <w:pPr>
              <w:spacing w:after="0" w:line="130" w:lineRule="exact"/>
              <w:rPr>
                <w:sz w:val="20"/>
                <w:szCs w:val="20"/>
                <w:color w:val="auto"/>
              </w:rPr>
            </w:pPr>
            <w:r>
              <w:rPr>
                <w:rFonts w:ascii="Arial" w:cs="Arial" w:eastAsia="Arial" w:hAnsi="Arial"/>
                <w:sz w:val="14"/>
                <w:szCs w:val="14"/>
                <w:color w:val="auto"/>
              </w:rPr>
              <w:t>Foreign</w:t>
            </w: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960" w:type="dxa"/>
            <w:vAlign w:val="bottom"/>
          </w:tcPr>
          <w:p>
            <w:pPr>
              <w:ind w:left="100"/>
              <w:spacing w:after="0" w:line="149" w:lineRule="exact"/>
              <w:rPr>
                <w:sz w:val="20"/>
                <w:szCs w:val="20"/>
                <w:color w:val="auto"/>
              </w:rPr>
            </w:pPr>
            <w:r>
              <w:rPr>
                <w:rFonts w:ascii="Arial" w:cs="Arial" w:eastAsia="Arial" w:hAnsi="Arial"/>
                <w:sz w:val="14"/>
                <w:szCs w:val="14"/>
                <w:color w:val="auto"/>
              </w:rPr>
              <w:t>currency</w:t>
            </w: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960" w:type="dxa"/>
            <w:vAlign w:val="bottom"/>
          </w:tcPr>
          <w:p>
            <w:pPr>
              <w:ind w:left="100"/>
              <w:spacing w:after="0" w:line="149" w:lineRule="exact"/>
              <w:rPr>
                <w:sz w:val="20"/>
                <w:szCs w:val="20"/>
                <w:color w:val="auto"/>
              </w:rPr>
            </w:pPr>
            <w:r>
              <w:rPr>
                <w:rFonts w:ascii="Arial" w:cs="Arial" w:eastAsia="Arial" w:hAnsi="Arial"/>
                <w:sz w:val="14"/>
                <w:szCs w:val="14"/>
                <w:color w:val="auto"/>
              </w:rPr>
              <w:t>translation</w:t>
            </w: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960" w:type="dxa"/>
            <w:vAlign w:val="bottom"/>
          </w:tcPr>
          <w:p>
            <w:pPr>
              <w:ind w:left="100"/>
              <w:spacing w:after="0"/>
              <w:rPr>
                <w:sz w:val="20"/>
                <w:szCs w:val="20"/>
                <w:color w:val="auto"/>
              </w:rPr>
            </w:pPr>
            <w:r>
              <w:rPr>
                <w:rFonts w:ascii="Arial" w:cs="Arial" w:eastAsia="Arial" w:hAnsi="Arial"/>
                <w:sz w:val="14"/>
                <w:szCs w:val="14"/>
                <w:color w:val="auto"/>
              </w:rPr>
              <w:t>Adjustments</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1180" w:type="dxa"/>
            <w:vAlign w:val="bottom"/>
            <w:gridSpan w:val="3"/>
          </w:tcPr>
          <w:p>
            <w:pPr>
              <w:jc w:val="right"/>
              <w:ind w:right="220"/>
              <w:spacing w:after="0"/>
              <w:rPr>
                <w:sz w:val="20"/>
                <w:szCs w:val="20"/>
                <w:color w:val="auto"/>
              </w:rPr>
            </w:pPr>
            <w:r>
              <w:rPr>
                <w:rFonts w:ascii="Arial" w:cs="Arial" w:eastAsia="Arial" w:hAnsi="Arial"/>
                <w:sz w:val="14"/>
                <w:szCs w:val="14"/>
                <w:color w:val="auto"/>
              </w:rPr>
              <w:t>23,627</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23,627</w:t>
            </w: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(339)</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23,288</w:t>
            </w:r>
          </w:p>
        </w:tc>
        <w:tc>
          <w:tcPr>
            <w:tcW w:w="0" w:type="dxa"/>
            <w:vAlign w:val="bottom"/>
          </w:tcPr>
          <w:p>
            <w:pPr>
              <w:spacing w:after="0"/>
              <w:rPr>
                <w:sz w:val="1"/>
                <w:szCs w:val="1"/>
                <w:color w:val="auto"/>
              </w:rPr>
            </w:pPr>
          </w:p>
        </w:tc>
      </w:tr>
      <w:tr>
        <w:trPr>
          <w:trHeight w:val="130"/>
        </w:trPr>
        <w:tc>
          <w:tcPr>
            <w:tcW w:w="96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Share-based</w:t>
            </w: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8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0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 w:type="dxa"/>
            <w:vAlign w:val="bottom"/>
            <w:shd w:val="clear" w:color="auto" w:fill="EEEEEE"/>
          </w:tcPr>
          <w:p>
            <w:pPr>
              <w:spacing w:after="0"/>
              <w:rPr>
                <w:sz w:val="11"/>
                <w:szCs w:val="11"/>
                <w:color w:val="auto"/>
              </w:rPr>
            </w:pPr>
          </w:p>
        </w:tc>
        <w:tc>
          <w:tcPr>
            <w:tcW w:w="88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960" w:type="dxa"/>
            <w:vAlign w:val="bottom"/>
            <w:shd w:val="clear" w:color="auto" w:fill="EEEEEE"/>
          </w:tcPr>
          <w:p>
            <w:pPr>
              <w:ind w:left="100"/>
              <w:spacing w:after="0"/>
              <w:rPr>
                <w:sz w:val="20"/>
                <w:szCs w:val="20"/>
                <w:color w:val="auto"/>
              </w:rPr>
            </w:pPr>
            <w:r>
              <w:rPr>
                <w:rFonts w:ascii="Arial" w:cs="Arial" w:eastAsia="Arial" w:hAnsi="Arial"/>
                <w:sz w:val="14"/>
                <w:szCs w:val="14"/>
                <w:color w:val="auto"/>
                <w:w w:val="96"/>
              </w:rPr>
              <w:t>compensation</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103,155</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shd w:val="clear" w:color="auto" w:fill="EEEEEE"/>
          </w:tcPr>
          <w:p>
            <w:pPr>
              <w:spacing w:after="0"/>
              <w:rPr>
                <w:sz w:val="14"/>
                <w:szCs w:val="14"/>
                <w:color w:val="auto"/>
              </w:rPr>
            </w:pPr>
          </w:p>
        </w:tc>
        <w:tc>
          <w:tcPr>
            <w:tcW w:w="110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103,155</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103,155</w:t>
            </w:r>
          </w:p>
        </w:tc>
        <w:tc>
          <w:tcPr>
            <w:tcW w:w="0" w:type="dxa"/>
            <w:vAlign w:val="bottom"/>
          </w:tcPr>
          <w:p>
            <w:pPr>
              <w:spacing w:after="0"/>
              <w:rPr>
                <w:sz w:val="1"/>
                <w:szCs w:val="1"/>
                <w:color w:val="auto"/>
              </w:rPr>
            </w:pPr>
          </w:p>
        </w:tc>
      </w:tr>
      <w:tr>
        <w:trPr>
          <w:trHeight w:val="130"/>
        </w:trPr>
        <w:tc>
          <w:tcPr>
            <w:tcW w:w="960" w:type="dxa"/>
            <w:vAlign w:val="bottom"/>
          </w:tcPr>
          <w:p>
            <w:pPr>
              <w:spacing w:after="0" w:line="130" w:lineRule="exact"/>
              <w:rPr>
                <w:sz w:val="20"/>
                <w:szCs w:val="20"/>
                <w:color w:val="auto"/>
              </w:rPr>
            </w:pPr>
            <w:r>
              <w:rPr>
                <w:rFonts w:ascii="Arial" w:cs="Arial" w:eastAsia="Arial" w:hAnsi="Arial"/>
                <w:sz w:val="14"/>
                <w:szCs w:val="14"/>
                <w:color w:val="auto"/>
              </w:rPr>
              <w:t>Consultancy</w:t>
            </w: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0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960" w:type="dxa"/>
            <w:vAlign w:val="bottom"/>
          </w:tcPr>
          <w:p>
            <w:pPr>
              <w:ind w:left="100"/>
              <w:spacing w:after="0" w:line="149" w:lineRule="exact"/>
              <w:rPr>
                <w:sz w:val="20"/>
                <w:szCs w:val="20"/>
                <w:color w:val="auto"/>
              </w:rPr>
            </w:pPr>
            <w:r>
              <w:rPr>
                <w:rFonts w:ascii="Arial" w:cs="Arial" w:eastAsia="Arial" w:hAnsi="Arial"/>
                <w:sz w:val="14"/>
                <w:szCs w:val="14"/>
                <w:color w:val="auto"/>
              </w:rPr>
              <w:t>services</w:t>
            </w: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960" w:type="dxa"/>
            <w:vAlign w:val="bottom"/>
          </w:tcPr>
          <w:p>
            <w:pPr>
              <w:ind w:left="100"/>
              <w:spacing w:after="0" w:line="149" w:lineRule="exact"/>
              <w:rPr>
                <w:sz w:val="20"/>
                <w:szCs w:val="20"/>
                <w:color w:val="auto"/>
              </w:rPr>
            </w:pPr>
            <w:r>
              <w:rPr>
                <w:rFonts w:ascii="Arial" w:cs="Arial" w:eastAsia="Arial" w:hAnsi="Arial"/>
                <w:sz w:val="14"/>
                <w:szCs w:val="14"/>
                <w:color w:val="auto"/>
              </w:rPr>
              <w:t>settled by</w:t>
            </w: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960" w:type="dxa"/>
            <w:vAlign w:val="bottom"/>
          </w:tcPr>
          <w:p>
            <w:pPr>
              <w:ind w:left="100"/>
              <w:spacing w:after="0"/>
              <w:rPr>
                <w:sz w:val="20"/>
                <w:szCs w:val="20"/>
                <w:color w:val="auto"/>
              </w:rPr>
            </w:pPr>
            <w:r>
              <w:rPr>
                <w:rFonts w:ascii="Arial" w:cs="Arial" w:eastAsia="Arial" w:hAnsi="Arial"/>
                <w:sz w:val="14"/>
                <w:szCs w:val="14"/>
                <w:color w:val="auto"/>
              </w:rPr>
              <w:t>equities</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450,000</w:t>
            </w:r>
          </w:p>
        </w:tc>
        <w:tc>
          <w:tcPr>
            <w:tcW w:w="880" w:type="dxa"/>
            <w:vAlign w:val="bottom"/>
            <w:gridSpan w:val="2"/>
          </w:tcPr>
          <w:p>
            <w:pPr>
              <w:jc w:val="right"/>
              <w:ind w:right="200"/>
              <w:spacing w:after="0"/>
              <w:rPr>
                <w:sz w:val="20"/>
                <w:szCs w:val="20"/>
                <w:color w:val="auto"/>
              </w:rPr>
            </w:pPr>
            <w:r>
              <w:rPr>
                <w:rFonts w:ascii="Arial" w:cs="Arial" w:eastAsia="Arial" w:hAnsi="Arial"/>
                <w:sz w:val="14"/>
                <w:szCs w:val="14"/>
                <w:color w:val="auto"/>
              </w:rPr>
              <w:t>450</w:t>
            </w:r>
          </w:p>
        </w:tc>
        <w:tc>
          <w:tcPr>
            <w:tcW w:w="88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520,650</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521,100</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521,100</w:t>
            </w:r>
          </w:p>
        </w:tc>
        <w:tc>
          <w:tcPr>
            <w:tcW w:w="0" w:type="dxa"/>
            <w:vAlign w:val="bottom"/>
          </w:tcPr>
          <w:p>
            <w:pPr>
              <w:spacing w:after="0"/>
              <w:rPr>
                <w:sz w:val="1"/>
                <w:szCs w:val="1"/>
                <w:color w:val="auto"/>
              </w:rPr>
            </w:pPr>
          </w:p>
        </w:tc>
      </w:tr>
      <w:tr>
        <w:trPr>
          <w:trHeight w:val="162"/>
        </w:trPr>
        <w:tc>
          <w:tcPr>
            <w:tcW w:w="96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(987,648)</w:t>
            </w:r>
          </w:p>
        </w:tc>
        <w:tc>
          <w:tcPr>
            <w:tcW w:w="80" w:type="dxa"/>
            <w:vAlign w:val="bottom"/>
            <w:shd w:val="clear" w:color="auto" w:fill="EEEEEE"/>
          </w:tcPr>
          <w:p>
            <w:pPr>
              <w:spacing w:after="0"/>
              <w:rPr>
                <w:sz w:val="14"/>
                <w:szCs w:val="14"/>
                <w:color w:val="auto"/>
              </w:rPr>
            </w:pPr>
          </w:p>
        </w:tc>
        <w:tc>
          <w:tcPr>
            <w:tcW w:w="110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(987,648)</w:t>
            </w:r>
          </w:p>
        </w:tc>
        <w:tc>
          <w:tcPr>
            <w:tcW w:w="88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(14,541)</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(1,002,189)</w:t>
            </w:r>
          </w:p>
        </w:tc>
        <w:tc>
          <w:tcPr>
            <w:tcW w:w="0" w:type="dxa"/>
            <w:vAlign w:val="bottom"/>
          </w:tcPr>
          <w:p>
            <w:pPr>
              <w:spacing w:after="0"/>
              <w:rPr>
                <w:sz w:val="1"/>
                <w:szCs w:val="1"/>
                <w:color w:val="auto"/>
              </w:rPr>
            </w:pPr>
          </w:p>
        </w:tc>
      </w:tr>
      <w:tr>
        <w:trPr>
          <w:trHeight w:val="110"/>
        </w:trPr>
        <w:tc>
          <w:tcPr>
            <w:tcW w:w="960" w:type="dxa"/>
            <w:vAlign w:val="bottom"/>
          </w:tcPr>
          <w:p>
            <w:pPr>
              <w:spacing w:after="0" w:line="110" w:lineRule="exact"/>
              <w:rPr>
                <w:sz w:val="20"/>
                <w:szCs w:val="20"/>
                <w:color w:val="auto"/>
              </w:rPr>
            </w:pPr>
            <w:r>
              <w:rPr>
                <w:rFonts w:ascii="Arial" w:cs="Arial" w:eastAsia="Arial" w:hAnsi="Arial"/>
                <w:sz w:val="12"/>
                <w:szCs w:val="12"/>
                <w:color w:val="auto"/>
              </w:rPr>
              <w:t>Balance,</w:t>
            </w:r>
          </w:p>
        </w:tc>
        <w:tc>
          <w:tcPr>
            <w:tcW w:w="74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68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72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660" w:type="dxa"/>
            <w:vAlign w:val="bottom"/>
            <w:tcBorders>
              <w:top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88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Borders>
              <w:top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Borders>
              <w:top w:val="single" w:sz="8" w:color="auto"/>
            </w:tcBorders>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Borders>
              <w:top w:val="single" w:sz="8" w:color="auto"/>
            </w:tcBorders>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960" w:type="dxa"/>
            <w:vAlign w:val="bottom"/>
          </w:tcPr>
          <w:p>
            <w:pPr>
              <w:ind w:left="100"/>
              <w:spacing w:after="0" w:line="149" w:lineRule="exact"/>
              <w:rPr>
                <w:sz w:val="20"/>
                <w:szCs w:val="20"/>
                <w:color w:val="auto"/>
              </w:rPr>
            </w:pPr>
            <w:r>
              <w:rPr>
                <w:rFonts w:ascii="Arial" w:cs="Arial" w:eastAsia="Arial" w:hAnsi="Arial"/>
                <w:sz w:val="14"/>
                <w:szCs w:val="14"/>
                <w:color w:val="auto"/>
              </w:rPr>
              <w:t>March 31,</w:t>
            </w: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2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(15,735,109)</w:t>
            </w:r>
          </w:p>
        </w:tc>
        <w:tc>
          <w:tcPr>
            <w:tcW w:w="80" w:type="dxa"/>
            <w:vAlign w:val="bottom"/>
          </w:tcPr>
          <w:p>
            <w:pPr>
              <w:spacing w:after="0"/>
              <w:rPr>
                <w:sz w:val="12"/>
                <w:szCs w:val="12"/>
                <w:color w:val="auto"/>
              </w:rPr>
            </w:pPr>
          </w:p>
        </w:tc>
        <w:tc>
          <w:tcPr>
            <w:tcW w:w="88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960" w:type="dxa"/>
            <w:vAlign w:val="bottom"/>
          </w:tcPr>
          <w:p>
            <w:pPr>
              <w:ind w:left="100"/>
              <w:spacing w:after="0"/>
              <w:rPr>
                <w:sz w:val="20"/>
                <w:szCs w:val="20"/>
                <w:color w:val="auto"/>
              </w:rPr>
            </w:pPr>
            <w:r>
              <w:rPr>
                <w:rFonts w:ascii="Arial" w:cs="Arial" w:eastAsia="Arial" w:hAnsi="Arial"/>
                <w:sz w:val="14"/>
                <w:szCs w:val="14"/>
                <w:color w:val="auto"/>
              </w:rPr>
              <w:t>2023</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9,693,587</w:t>
            </w:r>
          </w:p>
        </w:tc>
        <w:tc>
          <w:tcPr>
            <w:tcW w:w="880" w:type="dxa"/>
            <w:vAlign w:val="bottom"/>
            <w:gridSpan w:val="2"/>
          </w:tcPr>
          <w:p>
            <w:pPr>
              <w:jc w:val="right"/>
              <w:ind w:right="200"/>
              <w:spacing w:after="0"/>
              <w:rPr>
                <w:sz w:val="20"/>
                <w:szCs w:val="20"/>
                <w:color w:val="auto"/>
              </w:rPr>
            </w:pPr>
            <w:r>
              <w:rPr>
                <w:rFonts w:ascii="Arial" w:cs="Arial" w:eastAsia="Arial" w:hAnsi="Arial"/>
                <w:sz w:val="14"/>
                <w:szCs w:val="14"/>
                <w:color w:val="auto"/>
              </w:rPr>
              <w:t>9,693</w:t>
            </w:r>
          </w:p>
        </w:tc>
        <w:tc>
          <w:tcPr>
            <w:tcW w:w="880" w:type="dxa"/>
            <w:vAlign w:val="bottom"/>
            <w:gridSpan w:val="2"/>
          </w:tcPr>
          <w:p>
            <w:pPr>
              <w:jc w:val="right"/>
              <w:ind w:right="180"/>
              <w:spacing w:after="0"/>
              <w:rPr>
                <w:sz w:val="20"/>
                <w:szCs w:val="20"/>
                <w:color w:val="auto"/>
              </w:rPr>
            </w:pPr>
            <w:r>
              <w:rPr>
                <w:rFonts w:ascii="Arial" w:cs="Arial" w:eastAsia="Arial" w:hAnsi="Arial"/>
                <w:sz w:val="14"/>
                <w:szCs w:val="14"/>
                <w:color w:val="auto"/>
              </w:rPr>
              <w:t>80,000</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80</w:t>
            </w: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21,108,323</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191,219</w:t>
            </w:r>
          </w:p>
        </w:tc>
        <w:tc>
          <w:tcPr>
            <w:tcW w:w="920" w:type="dxa"/>
            <w:vAlign w:val="bottom"/>
            <w:gridSpan w:val="2"/>
            <w:vMerge w:val="continue"/>
          </w:tcPr>
          <w:p>
            <w:pPr>
              <w:spacing w:after="0"/>
              <w:rPr>
                <w:sz w:val="14"/>
                <w:szCs w:val="14"/>
                <w:color w:val="auto"/>
              </w:rPr>
            </w:pPr>
          </w:p>
        </w:tc>
        <w:tc>
          <w:tcPr>
            <w:tcW w:w="1180" w:type="dxa"/>
            <w:vAlign w:val="bottom"/>
            <w:gridSpan w:val="3"/>
          </w:tcPr>
          <w:p>
            <w:pPr>
              <w:jc w:val="right"/>
              <w:ind w:right="220"/>
              <w:spacing w:after="0"/>
              <w:rPr>
                <w:sz w:val="20"/>
                <w:szCs w:val="20"/>
                <w:color w:val="auto"/>
              </w:rPr>
            </w:pPr>
            <w:r>
              <w:rPr>
                <w:rFonts w:ascii="Arial" w:cs="Arial" w:eastAsia="Arial" w:hAnsi="Arial"/>
                <w:sz w:val="14"/>
                <w:szCs w:val="14"/>
                <w:color w:val="auto"/>
              </w:rPr>
              <w:t>127,221</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5,701,427</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126,174</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5,827,601</w:t>
            </w:r>
          </w:p>
        </w:tc>
        <w:tc>
          <w:tcPr>
            <w:tcW w:w="0" w:type="dxa"/>
            <w:vAlign w:val="bottom"/>
          </w:tcPr>
          <w:p>
            <w:pPr>
              <w:spacing w:after="0"/>
              <w:rPr>
                <w:sz w:val="1"/>
                <w:szCs w:val="1"/>
                <w:color w:val="auto"/>
              </w:rPr>
            </w:pPr>
          </w:p>
        </w:tc>
      </w:tr>
      <w:tr>
        <w:trPr>
          <w:trHeight w:val="110"/>
        </w:trPr>
        <w:tc>
          <w:tcPr>
            <w:tcW w:w="960" w:type="dxa"/>
            <w:vAlign w:val="bottom"/>
            <w:tcBorders>
              <w:top w:val="single" w:sz="8" w:color="EEEEEE"/>
            </w:tcBorders>
            <w:shd w:val="clear" w:color="auto" w:fill="EEEEEE"/>
          </w:tcPr>
          <w:p>
            <w:pPr>
              <w:spacing w:after="0" w:line="110" w:lineRule="exact"/>
              <w:rPr>
                <w:sz w:val="20"/>
                <w:szCs w:val="20"/>
                <w:color w:val="auto"/>
              </w:rPr>
            </w:pPr>
            <w:r>
              <w:rPr>
                <w:rFonts w:ascii="Arial" w:cs="Arial" w:eastAsia="Arial" w:hAnsi="Arial"/>
                <w:sz w:val="12"/>
                <w:szCs w:val="12"/>
                <w:color w:val="auto"/>
              </w:rPr>
              <w:t>Foreign</w:t>
            </w:r>
          </w:p>
        </w:tc>
        <w:tc>
          <w:tcPr>
            <w:tcW w:w="74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8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0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72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4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80" w:type="dxa"/>
            <w:vAlign w:val="bottom"/>
            <w:tcBorders>
              <w:top w:val="single" w:sz="8" w:color="EEEEEE"/>
            </w:tcBorders>
            <w:shd w:val="clear" w:color="auto" w:fill="EEEEEE"/>
          </w:tcPr>
          <w:p>
            <w:pPr>
              <w:spacing w:after="0"/>
              <w:rPr>
                <w:sz w:val="9"/>
                <w:szCs w:val="9"/>
                <w:color w:val="auto"/>
              </w:rPr>
            </w:pPr>
          </w:p>
        </w:tc>
        <w:tc>
          <w:tcPr>
            <w:tcW w:w="88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96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currency</w:t>
            </w: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8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88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96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8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880" w:type="dxa"/>
            <w:vAlign w:val="bottom"/>
            <w:gridSpan w:val="2"/>
            <w:vMerge w:val="restart"/>
            <w:shd w:val="clear" w:color="auto" w:fill="EEEEEE"/>
          </w:tcPr>
          <w:p>
            <w:pPr>
              <w:jc w:val="right"/>
              <w:ind w:right="180"/>
              <w:spacing w:after="0"/>
              <w:rPr>
                <w:sz w:val="20"/>
                <w:szCs w:val="20"/>
                <w:color w:val="auto"/>
              </w:rPr>
            </w:pPr>
            <w:r>
              <w:rPr>
                <w:rFonts w:ascii="Arial" w:cs="Arial" w:eastAsia="Arial" w:hAnsi="Arial"/>
                <w:sz w:val="14"/>
                <w:szCs w:val="14"/>
                <w:b w:val="1"/>
                <w:bCs w:val="1"/>
                <w:color w:val="auto"/>
              </w:rPr>
              <w:t>–</w:t>
            </w:r>
          </w:p>
        </w:tc>
        <w:tc>
          <w:tcPr>
            <w:tcW w:w="920" w:type="dxa"/>
            <w:vAlign w:val="bottom"/>
            <w:gridSpan w:val="2"/>
            <w:vMerge w:val="restart"/>
            <w:shd w:val="clear" w:color="auto" w:fill="EEEEEE"/>
          </w:tcPr>
          <w:p>
            <w:pPr>
              <w:jc w:val="right"/>
              <w:ind w:right="200"/>
              <w:spacing w:after="0"/>
              <w:rPr>
                <w:sz w:val="20"/>
                <w:szCs w:val="20"/>
                <w:color w:val="auto"/>
              </w:rPr>
            </w:pPr>
            <w:r>
              <w:rPr>
                <w:rFonts w:ascii="Arial" w:cs="Arial" w:eastAsia="Arial" w:hAnsi="Arial"/>
                <w:sz w:val="14"/>
                <w:szCs w:val="14"/>
                <w:b w:val="1"/>
                <w:bCs w:val="1"/>
                <w:color w:val="auto"/>
              </w:rPr>
              <w:t>–</w:t>
            </w:r>
          </w:p>
        </w:tc>
        <w:tc>
          <w:tcPr>
            <w:tcW w:w="74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88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96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9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1180" w:type="dxa"/>
            <w:vAlign w:val="bottom"/>
            <w:gridSpan w:val="3"/>
            <w:shd w:val="clear" w:color="auto" w:fill="EEEEEE"/>
          </w:tcPr>
          <w:p>
            <w:pPr>
              <w:jc w:val="right"/>
              <w:ind w:right="160"/>
              <w:spacing w:after="0"/>
              <w:rPr>
                <w:sz w:val="20"/>
                <w:szCs w:val="20"/>
                <w:color w:val="auto"/>
              </w:rPr>
            </w:pPr>
            <w:r>
              <w:rPr>
                <w:rFonts w:ascii="Arial" w:cs="Arial" w:eastAsia="Arial" w:hAnsi="Arial"/>
                <w:sz w:val="14"/>
                <w:szCs w:val="14"/>
                <w:color w:val="auto"/>
              </w:rPr>
              <w:t>(43,221)</w:t>
            </w:r>
          </w:p>
        </w:tc>
        <w:tc>
          <w:tcPr>
            <w:tcW w:w="100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(43,221)</w:t>
            </w:r>
          </w:p>
        </w:tc>
        <w:tc>
          <w:tcPr>
            <w:tcW w:w="88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(2,475)</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(45,696)</w:t>
            </w:r>
          </w:p>
        </w:tc>
        <w:tc>
          <w:tcPr>
            <w:tcW w:w="0" w:type="dxa"/>
            <w:vAlign w:val="bottom"/>
          </w:tcPr>
          <w:p>
            <w:pPr>
              <w:spacing w:after="0"/>
              <w:rPr>
                <w:sz w:val="1"/>
                <w:szCs w:val="1"/>
                <w:color w:val="auto"/>
              </w:rPr>
            </w:pPr>
          </w:p>
        </w:tc>
      </w:tr>
      <w:tr>
        <w:trPr>
          <w:trHeight w:val="130"/>
        </w:trPr>
        <w:tc>
          <w:tcPr>
            <w:tcW w:w="96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rPr>
              <w:t>–</w:t>
            </w:r>
          </w:p>
        </w:tc>
        <w:tc>
          <w:tcPr>
            <w:tcW w:w="92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960" w:type="dxa"/>
            <w:vAlign w:val="bottom"/>
          </w:tcPr>
          <w:p>
            <w:pPr>
              <w:ind w:left="100"/>
              <w:spacing w:after="0"/>
              <w:rPr>
                <w:sz w:val="20"/>
                <w:szCs w:val="20"/>
                <w:color w:val="auto"/>
              </w:rPr>
            </w:pPr>
            <w:r>
              <w:rPr>
                <w:rFonts w:ascii="Arial" w:cs="Arial" w:eastAsia="Arial" w:hAnsi="Arial"/>
                <w:sz w:val="14"/>
                <w:szCs w:val="14"/>
                <w:color w:val="auto"/>
                <w:w w:val="96"/>
              </w:rPr>
              <w:t>compensation</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29,800</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29,800</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29,800</w:t>
            </w:r>
          </w:p>
        </w:tc>
        <w:tc>
          <w:tcPr>
            <w:tcW w:w="0" w:type="dxa"/>
            <w:vAlign w:val="bottom"/>
          </w:tcPr>
          <w:p>
            <w:pPr>
              <w:spacing w:after="0"/>
              <w:rPr>
                <w:sz w:val="1"/>
                <w:szCs w:val="1"/>
                <w:color w:val="auto"/>
              </w:rPr>
            </w:pPr>
          </w:p>
        </w:tc>
      </w:tr>
      <w:tr>
        <w:trPr>
          <w:trHeight w:val="162"/>
        </w:trPr>
        <w:tc>
          <w:tcPr>
            <w:tcW w:w="96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b w:val="1"/>
                <w:bCs w:val="1"/>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b w:val="1"/>
                <w:bCs w:val="1"/>
                <w:color w:val="auto"/>
              </w:rPr>
              <w:t>–</w:t>
            </w:r>
          </w:p>
        </w:tc>
        <w:tc>
          <w:tcPr>
            <w:tcW w:w="9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80"/>
              <w:spacing w:after="0"/>
              <w:rPr>
                <w:sz w:val="20"/>
                <w:szCs w:val="20"/>
                <w:color w:val="auto"/>
              </w:rPr>
            </w:pPr>
            <w:r>
              <w:rPr>
                <w:rFonts w:ascii="Arial" w:cs="Arial" w:eastAsia="Arial" w:hAnsi="Arial"/>
                <w:sz w:val="14"/>
                <w:szCs w:val="14"/>
                <w:color w:val="auto"/>
              </w:rPr>
              <w:t>(311,374)</w:t>
            </w:r>
          </w:p>
        </w:tc>
        <w:tc>
          <w:tcPr>
            <w:tcW w:w="80" w:type="dxa"/>
            <w:vAlign w:val="bottom"/>
            <w:shd w:val="clear" w:color="auto" w:fill="EEEEEE"/>
          </w:tcPr>
          <w:p>
            <w:pPr>
              <w:spacing w:after="0"/>
              <w:rPr>
                <w:sz w:val="14"/>
                <w:szCs w:val="14"/>
                <w:color w:val="auto"/>
              </w:rPr>
            </w:pPr>
          </w:p>
        </w:tc>
        <w:tc>
          <w:tcPr>
            <w:tcW w:w="110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(311,374)</w:t>
            </w:r>
          </w:p>
        </w:tc>
        <w:tc>
          <w:tcPr>
            <w:tcW w:w="88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(20,938)</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(332,312)</w:t>
            </w:r>
          </w:p>
        </w:tc>
        <w:tc>
          <w:tcPr>
            <w:tcW w:w="0" w:type="dxa"/>
            <w:vAlign w:val="bottom"/>
          </w:tcPr>
          <w:p>
            <w:pPr>
              <w:spacing w:after="0"/>
              <w:rPr>
                <w:sz w:val="1"/>
                <w:szCs w:val="1"/>
                <w:color w:val="auto"/>
              </w:rPr>
            </w:pPr>
          </w:p>
        </w:tc>
      </w:tr>
      <w:tr>
        <w:trPr>
          <w:trHeight w:val="20"/>
        </w:trPr>
        <w:tc>
          <w:tcPr>
            <w:tcW w:w="960" w:type="dxa"/>
            <w:vAlign w:val="bottom"/>
            <w:vMerge w:val="restart"/>
          </w:tcPr>
          <w:p>
            <w:pPr>
              <w:spacing w:after="0" w:line="130" w:lineRule="exact"/>
              <w:rPr>
                <w:sz w:val="20"/>
                <w:szCs w:val="20"/>
                <w:color w:val="auto"/>
              </w:rPr>
            </w:pPr>
            <w:r>
              <w:rPr>
                <w:rFonts w:ascii="Arial" w:cs="Arial" w:eastAsia="Arial" w:hAnsi="Arial"/>
                <w:sz w:val="14"/>
                <w:szCs w:val="14"/>
                <w:color w:val="auto"/>
              </w:rPr>
              <w:t>Balance, June</w:t>
            </w:r>
          </w:p>
        </w:tc>
        <w:tc>
          <w:tcPr>
            <w:tcW w:w="74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8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0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00" w:type="dxa"/>
            <w:vAlign w:val="bottom"/>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10"/>
        </w:trPr>
        <w:tc>
          <w:tcPr>
            <w:tcW w:w="960" w:type="dxa"/>
            <w:vAlign w:val="bottom"/>
            <w:vMerge w:val="continue"/>
          </w:tcPr>
          <w:p>
            <w:pPr>
              <w:spacing w:after="0"/>
              <w:rPr>
                <w:sz w:val="9"/>
                <w:szCs w:val="9"/>
                <w:color w:val="auto"/>
              </w:rPr>
            </w:pPr>
          </w:p>
        </w:tc>
        <w:tc>
          <w:tcPr>
            <w:tcW w:w="740" w:type="dxa"/>
            <w:vAlign w:val="bottom"/>
          </w:tcPr>
          <w:p>
            <w:pPr>
              <w:spacing w:after="0"/>
              <w:rPr>
                <w:sz w:val="9"/>
                <w:szCs w:val="9"/>
                <w:color w:val="auto"/>
              </w:rPr>
            </w:pPr>
          </w:p>
        </w:tc>
        <w:tc>
          <w:tcPr>
            <w:tcW w:w="200" w:type="dxa"/>
            <w:vAlign w:val="bottom"/>
          </w:tcPr>
          <w:p>
            <w:pPr>
              <w:spacing w:after="0"/>
              <w:rPr>
                <w:sz w:val="9"/>
                <w:szCs w:val="9"/>
                <w:color w:val="auto"/>
              </w:rPr>
            </w:pPr>
          </w:p>
        </w:tc>
        <w:tc>
          <w:tcPr>
            <w:tcW w:w="680" w:type="dxa"/>
            <w:vAlign w:val="bottom"/>
          </w:tcPr>
          <w:p>
            <w:pPr>
              <w:spacing w:after="0"/>
              <w:rPr>
                <w:sz w:val="9"/>
                <w:szCs w:val="9"/>
                <w:color w:val="auto"/>
              </w:rPr>
            </w:pPr>
          </w:p>
        </w:tc>
        <w:tc>
          <w:tcPr>
            <w:tcW w:w="200" w:type="dxa"/>
            <w:vAlign w:val="bottom"/>
          </w:tcPr>
          <w:p>
            <w:pPr>
              <w:spacing w:after="0"/>
              <w:rPr>
                <w:sz w:val="9"/>
                <w:szCs w:val="9"/>
                <w:color w:val="auto"/>
              </w:rPr>
            </w:pPr>
          </w:p>
        </w:tc>
        <w:tc>
          <w:tcPr>
            <w:tcW w:w="700" w:type="dxa"/>
            <w:vAlign w:val="bottom"/>
          </w:tcPr>
          <w:p>
            <w:pPr>
              <w:spacing w:after="0"/>
              <w:rPr>
                <w:sz w:val="9"/>
                <w:szCs w:val="9"/>
                <w:color w:val="auto"/>
              </w:rPr>
            </w:pPr>
          </w:p>
        </w:tc>
        <w:tc>
          <w:tcPr>
            <w:tcW w:w="180" w:type="dxa"/>
            <w:vAlign w:val="bottom"/>
          </w:tcPr>
          <w:p>
            <w:pPr>
              <w:spacing w:after="0"/>
              <w:rPr>
                <w:sz w:val="9"/>
                <w:szCs w:val="9"/>
                <w:color w:val="auto"/>
              </w:rPr>
            </w:pPr>
          </w:p>
        </w:tc>
        <w:tc>
          <w:tcPr>
            <w:tcW w:w="720" w:type="dxa"/>
            <w:vAlign w:val="bottom"/>
          </w:tcPr>
          <w:p>
            <w:pPr>
              <w:spacing w:after="0"/>
              <w:rPr>
                <w:sz w:val="9"/>
                <w:szCs w:val="9"/>
                <w:color w:val="auto"/>
              </w:rPr>
            </w:pPr>
          </w:p>
        </w:tc>
        <w:tc>
          <w:tcPr>
            <w:tcW w:w="200" w:type="dxa"/>
            <w:vAlign w:val="bottom"/>
          </w:tcPr>
          <w:p>
            <w:pPr>
              <w:spacing w:after="0"/>
              <w:rPr>
                <w:sz w:val="9"/>
                <w:szCs w:val="9"/>
                <w:color w:val="auto"/>
              </w:rPr>
            </w:pPr>
          </w:p>
        </w:tc>
        <w:tc>
          <w:tcPr>
            <w:tcW w:w="740" w:type="dxa"/>
            <w:vAlign w:val="bottom"/>
          </w:tcPr>
          <w:p>
            <w:pPr>
              <w:spacing w:after="0"/>
              <w:rPr>
                <w:sz w:val="9"/>
                <w:szCs w:val="9"/>
                <w:color w:val="auto"/>
              </w:rPr>
            </w:pPr>
          </w:p>
        </w:tc>
        <w:tc>
          <w:tcPr>
            <w:tcW w:w="180" w:type="dxa"/>
            <w:vAlign w:val="bottom"/>
          </w:tcPr>
          <w:p>
            <w:pPr>
              <w:spacing w:after="0"/>
              <w:rPr>
                <w:sz w:val="9"/>
                <w:szCs w:val="9"/>
                <w:color w:val="auto"/>
              </w:rPr>
            </w:pPr>
          </w:p>
        </w:tc>
        <w:tc>
          <w:tcPr>
            <w:tcW w:w="660" w:type="dxa"/>
            <w:vAlign w:val="bottom"/>
          </w:tcPr>
          <w:p>
            <w:pPr>
              <w:spacing w:after="0"/>
              <w:rPr>
                <w:sz w:val="9"/>
                <w:szCs w:val="9"/>
                <w:color w:val="auto"/>
              </w:rPr>
            </w:pPr>
          </w:p>
        </w:tc>
        <w:tc>
          <w:tcPr>
            <w:tcW w:w="180" w:type="dxa"/>
            <w:vAlign w:val="bottom"/>
          </w:tcPr>
          <w:p>
            <w:pPr>
              <w:spacing w:after="0"/>
              <w:rPr>
                <w:sz w:val="9"/>
                <w:szCs w:val="9"/>
                <w:color w:val="auto"/>
              </w:rPr>
            </w:pPr>
          </w:p>
        </w:tc>
        <w:tc>
          <w:tcPr>
            <w:tcW w:w="920" w:type="dxa"/>
            <w:vAlign w:val="bottom"/>
            <w:gridSpan w:val="2"/>
            <w:vMerge w:val="restart"/>
          </w:tcPr>
          <w:p>
            <w:pPr>
              <w:jc w:val="right"/>
              <w:ind w:right="80"/>
              <w:spacing w:after="0"/>
              <w:rPr>
                <w:sz w:val="20"/>
                <w:szCs w:val="20"/>
                <w:color w:val="auto"/>
              </w:rPr>
            </w:pPr>
            <w:r>
              <w:rPr>
                <w:rFonts w:ascii="Arial" w:cs="Arial" w:eastAsia="Arial" w:hAnsi="Arial"/>
                <w:sz w:val="14"/>
                <w:szCs w:val="14"/>
                <w:color w:val="auto"/>
              </w:rPr>
              <w:t>(16,046,483)</w:t>
            </w:r>
          </w:p>
        </w:tc>
        <w:tc>
          <w:tcPr>
            <w:tcW w:w="80" w:type="dxa"/>
            <w:vAlign w:val="bottom"/>
          </w:tcPr>
          <w:p>
            <w:pPr>
              <w:spacing w:after="0"/>
              <w:rPr>
                <w:sz w:val="9"/>
                <w:szCs w:val="9"/>
                <w:color w:val="auto"/>
              </w:rPr>
            </w:pPr>
          </w:p>
        </w:tc>
        <w:tc>
          <w:tcPr>
            <w:tcW w:w="880" w:type="dxa"/>
            <w:vAlign w:val="bottom"/>
          </w:tcPr>
          <w:p>
            <w:pPr>
              <w:spacing w:after="0"/>
              <w:rPr>
                <w:sz w:val="9"/>
                <w:szCs w:val="9"/>
                <w:color w:val="auto"/>
              </w:rPr>
            </w:pPr>
          </w:p>
        </w:tc>
        <w:tc>
          <w:tcPr>
            <w:tcW w:w="220" w:type="dxa"/>
            <w:vAlign w:val="bottom"/>
          </w:tcPr>
          <w:p>
            <w:pPr>
              <w:spacing w:after="0"/>
              <w:rPr>
                <w:sz w:val="9"/>
                <w:szCs w:val="9"/>
                <w:color w:val="auto"/>
              </w:rPr>
            </w:pPr>
          </w:p>
        </w:tc>
        <w:tc>
          <w:tcPr>
            <w:tcW w:w="800" w:type="dxa"/>
            <w:vAlign w:val="bottom"/>
          </w:tcPr>
          <w:p>
            <w:pPr>
              <w:spacing w:after="0"/>
              <w:rPr>
                <w:sz w:val="9"/>
                <w:szCs w:val="9"/>
                <w:color w:val="auto"/>
              </w:rPr>
            </w:pPr>
          </w:p>
        </w:tc>
        <w:tc>
          <w:tcPr>
            <w:tcW w:w="200" w:type="dxa"/>
            <w:vAlign w:val="bottom"/>
          </w:tcPr>
          <w:p>
            <w:pPr>
              <w:spacing w:after="0"/>
              <w:rPr>
                <w:sz w:val="9"/>
                <w:szCs w:val="9"/>
                <w:color w:val="auto"/>
              </w:rPr>
            </w:pPr>
          </w:p>
        </w:tc>
        <w:tc>
          <w:tcPr>
            <w:tcW w:w="660" w:type="dxa"/>
            <w:vAlign w:val="bottom"/>
          </w:tcPr>
          <w:p>
            <w:pPr>
              <w:spacing w:after="0"/>
              <w:rPr>
                <w:sz w:val="9"/>
                <w:szCs w:val="9"/>
                <w:color w:val="auto"/>
              </w:rPr>
            </w:pPr>
          </w:p>
        </w:tc>
        <w:tc>
          <w:tcPr>
            <w:tcW w:w="220" w:type="dxa"/>
            <w:vAlign w:val="bottom"/>
          </w:tcPr>
          <w:p>
            <w:pPr>
              <w:spacing w:after="0"/>
              <w:rPr>
                <w:sz w:val="9"/>
                <w:szCs w:val="9"/>
                <w:color w:val="auto"/>
              </w:rPr>
            </w:pPr>
          </w:p>
        </w:tc>
        <w:tc>
          <w:tcPr>
            <w:tcW w:w="820" w:type="dxa"/>
            <w:vAlign w:val="bottom"/>
          </w:tcPr>
          <w:p>
            <w:pPr>
              <w:spacing w:after="0"/>
              <w:rPr>
                <w:sz w:val="9"/>
                <w:szCs w:val="9"/>
                <w:color w:val="auto"/>
              </w:rPr>
            </w:pPr>
          </w:p>
        </w:tc>
        <w:tc>
          <w:tcPr>
            <w:tcW w:w="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67"/>
        </w:trPr>
        <w:tc>
          <w:tcPr>
            <w:tcW w:w="960" w:type="dxa"/>
            <w:vAlign w:val="bottom"/>
          </w:tcPr>
          <w:p>
            <w:pPr>
              <w:ind w:left="100"/>
              <w:spacing w:after="0"/>
              <w:rPr>
                <w:sz w:val="20"/>
                <w:szCs w:val="20"/>
                <w:color w:val="auto"/>
              </w:rPr>
            </w:pPr>
            <w:r>
              <w:rPr>
                <w:rFonts w:ascii="Arial" w:cs="Arial" w:eastAsia="Arial" w:hAnsi="Arial"/>
                <w:sz w:val="14"/>
                <w:szCs w:val="14"/>
                <w:color w:val="auto"/>
              </w:rPr>
              <w:t>30, 2023</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9,693,587</w:t>
            </w:r>
          </w:p>
        </w:tc>
        <w:tc>
          <w:tcPr>
            <w:tcW w:w="880" w:type="dxa"/>
            <w:vAlign w:val="bottom"/>
            <w:gridSpan w:val="2"/>
          </w:tcPr>
          <w:p>
            <w:pPr>
              <w:jc w:val="right"/>
              <w:ind w:right="200"/>
              <w:spacing w:after="0"/>
              <w:rPr>
                <w:sz w:val="20"/>
                <w:szCs w:val="20"/>
                <w:color w:val="auto"/>
              </w:rPr>
            </w:pPr>
            <w:r>
              <w:rPr>
                <w:rFonts w:ascii="Arial" w:cs="Arial" w:eastAsia="Arial" w:hAnsi="Arial"/>
                <w:sz w:val="14"/>
                <w:szCs w:val="14"/>
                <w:color w:val="auto"/>
              </w:rPr>
              <w:t>9,693</w:t>
            </w:r>
          </w:p>
        </w:tc>
        <w:tc>
          <w:tcPr>
            <w:tcW w:w="880" w:type="dxa"/>
            <w:vAlign w:val="bottom"/>
            <w:gridSpan w:val="2"/>
          </w:tcPr>
          <w:p>
            <w:pPr>
              <w:jc w:val="right"/>
              <w:ind w:right="180"/>
              <w:spacing w:after="0"/>
              <w:rPr>
                <w:sz w:val="20"/>
                <w:szCs w:val="20"/>
                <w:color w:val="auto"/>
              </w:rPr>
            </w:pPr>
            <w:r>
              <w:rPr>
                <w:rFonts w:ascii="Arial" w:cs="Arial" w:eastAsia="Arial" w:hAnsi="Arial"/>
                <w:sz w:val="14"/>
                <w:szCs w:val="14"/>
                <w:color w:val="auto"/>
              </w:rPr>
              <w:t>80,000</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color w:val="auto"/>
              </w:rPr>
              <w:t>80</w:t>
            </w: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21,138,123</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191,219</w:t>
            </w:r>
          </w:p>
        </w:tc>
        <w:tc>
          <w:tcPr>
            <w:tcW w:w="920" w:type="dxa"/>
            <w:vAlign w:val="bottom"/>
            <w:gridSpan w:val="2"/>
            <w:vMerge w:val="continue"/>
          </w:tcPr>
          <w:p>
            <w:pPr>
              <w:spacing w:after="0"/>
              <w:rPr>
                <w:sz w:val="14"/>
                <w:szCs w:val="14"/>
                <w:color w:val="auto"/>
              </w:rPr>
            </w:pPr>
          </w:p>
        </w:tc>
        <w:tc>
          <w:tcPr>
            <w:tcW w:w="1180" w:type="dxa"/>
            <w:vAlign w:val="bottom"/>
            <w:gridSpan w:val="3"/>
          </w:tcPr>
          <w:p>
            <w:pPr>
              <w:jc w:val="right"/>
              <w:ind w:right="220"/>
              <w:spacing w:after="0"/>
              <w:rPr>
                <w:sz w:val="20"/>
                <w:szCs w:val="20"/>
                <w:color w:val="auto"/>
              </w:rPr>
            </w:pPr>
            <w:r>
              <w:rPr>
                <w:rFonts w:ascii="Arial" w:cs="Arial" w:eastAsia="Arial" w:hAnsi="Arial"/>
                <w:sz w:val="14"/>
                <w:szCs w:val="14"/>
                <w:color w:val="auto"/>
              </w:rPr>
              <w:t>84,000</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5,376,632</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102,761</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5,479,393</w:t>
            </w:r>
          </w:p>
        </w:tc>
        <w:tc>
          <w:tcPr>
            <w:tcW w:w="0" w:type="dxa"/>
            <w:vAlign w:val="bottom"/>
          </w:tcPr>
          <w:p>
            <w:pPr>
              <w:spacing w:after="0"/>
              <w:rPr>
                <w:sz w:val="1"/>
                <w:szCs w:val="1"/>
                <w:color w:val="auto"/>
              </w:rPr>
            </w:pPr>
          </w:p>
        </w:tc>
      </w:tr>
      <w:tr>
        <w:trPr>
          <w:trHeight w:val="110"/>
        </w:trPr>
        <w:tc>
          <w:tcPr>
            <w:tcW w:w="960" w:type="dxa"/>
            <w:vAlign w:val="bottom"/>
            <w:tcBorders>
              <w:top w:val="single" w:sz="8" w:color="EEEEEE"/>
            </w:tcBorders>
            <w:shd w:val="clear" w:color="auto" w:fill="EEEEEE"/>
          </w:tcPr>
          <w:p>
            <w:pPr>
              <w:spacing w:after="0" w:line="110" w:lineRule="exact"/>
              <w:rPr>
                <w:sz w:val="20"/>
                <w:szCs w:val="20"/>
                <w:color w:val="auto"/>
              </w:rPr>
            </w:pPr>
            <w:r>
              <w:rPr>
                <w:rFonts w:ascii="Arial" w:cs="Arial" w:eastAsia="Arial" w:hAnsi="Arial"/>
                <w:sz w:val="12"/>
                <w:szCs w:val="12"/>
                <w:color w:val="auto"/>
              </w:rPr>
              <w:t>Foreign</w:t>
            </w:r>
          </w:p>
        </w:tc>
        <w:tc>
          <w:tcPr>
            <w:tcW w:w="74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8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0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72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4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80" w:type="dxa"/>
            <w:vAlign w:val="bottom"/>
            <w:tcBorders>
              <w:top w:val="single" w:sz="8" w:color="EEEEEE"/>
            </w:tcBorders>
            <w:shd w:val="clear" w:color="auto" w:fill="EEEEEE"/>
          </w:tcPr>
          <w:p>
            <w:pPr>
              <w:spacing w:after="0"/>
              <w:rPr>
                <w:sz w:val="9"/>
                <w:szCs w:val="9"/>
                <w:color w:val="auto"/>
              </w:rPr>
            </w:pPr>
          </w:p>
        </w:tc>
        <w:tc>
          <w:tcPr>
            <w:tcW w:w="88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96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currency</w:t>
            </w: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8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0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88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0" w:type="dxa"/>
            <w:vAlign w:val="bottom"/>
          </w:tcPr>
          <w:p>
            <w:pPr>
              <w:spacing w:after="0"/>
              <w:rPr>
                <w:sz w:val="1"/>
                <w:szCs w:val="1"/>
                <w:color w:val="auto"/>
              </w:rPr>
            </w:pPr>
          </w:p>
        </w:tc>
      </w:tr>
      <w:tr>
        <w:trPr>
          <w:trHeight w:val="148"/>
        </w:trPr>
        <w:tc>
          <w:tcPr>
            <w:tcW w:w="96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8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880" w:type="dxa"/>
            <w:vAlign w:val="bottom"/>
            <w:gridSpan w:val="2"/>
            <w:vMerge w:val="restart"/>
            <w:shd w:val="clear" w:color="auto" w:fill="EEEEEE"/>
          </w:tcPr>
          <w:p>
            <w:pPr>
              <w:jc w:val="right"/>
              <w:ind w:right="180"/>
              <w:spacing w:after="0"/>
              <w:rPr>
                <w:sz w:val="20"/>
                <w:szCs w:val="20"/>
                <w:color w:val="auto"/>
              </w:rPr>
            </w:pPr>
            <w:r>
              <w:rPr>
                <w:rFonts w:ascii="Arial" w:cs="Arial" w:eastAsia="Arial" w:hAnsi="Arial"/>
                <w:sz w:val="14"/>
                <w:szCs w:val="14"/>
                <w:b w:val="1"/>
                <w:bCs w:val="1"/>
                <w:color w:val="auto"/>
              </w:rPr>
              <w:t>–</w:t>
            </w:r>
          </w:p>
        </w:tc>
        <w:tc>
          <w:tcPr>
            <w:tcW w:w="920" w:type="dxa"/>
            <w:vAlign w:val="bottom"/>
            <w:gridSpan w:val="2"/>
            <w:vMerge w:val="restart"/>
            <w:shd w:val="clear" w:color="auto" w:fill="EEEEEE"/>
          </w:tcPr>
          <w:p>
            <w:pPr>
              <w:jc w:val="right"/>
              <w:ind w:right="200"/>
              <w:spacing w:after="0"/>
              <w:rPr>
                <w:sz w:val="20"/>
                <w:szCs w:val="20"/>
                <w:color w:val="auto"/>
              </w:rPr>
            </w:pPr>
            <w:r>
              <w:rPr>
                <w:rFonts w:ascii="Arial" w:cs="Arial" w:eastAsia="Arial" w:hAnsi="Arial"/>
                <w:sz w:val="14"/>
                <w:szCs w:val="14"/>
                <w:b w:val="1"/>
                <w:bCs w:val="1"/>
                <w:color w:val="auto"/>
              </w:rPr>
              <w:t>–</w:t>
            </w:r>
          </w:p>
        </w:tc>
        <w:tc>
          <w:tcPr>
            <w:tcW w:w="74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 w:type="dxa"/>
            <w:vAlign w:val="bottom"/>
            <w:shd w:val="clear" w:color="auto" w:fill="EEEEEE"/>
          </w:tcPr>
          <w:p>
            <w:pPr>
              <w:spacing w:after="0"/>
              <w:rPr>
                <w:sz w:val="12"/>
                <w:szCs w:val="12"/>
                <w:color w:val="auto"/>
              </w:rPr>
            </w:pPr>
          </w:p>
        </w:tc>
        <w:tc>
          <w:tcPr>
            <w:tcW w:w="88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2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96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vMerge w:val="continue"/>
            <w:shd w:val="clear" w:color="auto" w:fill="EEEEEE"/>
          </w:tcPr>
          <w:p>
            <w:pPr>
              <w:spacing w:after="0"/>
              <w:rPr>
                <w:sz w:val="14"/>
                <w:szCs w:val="14"/>
                <w:color w:val="auto"/>
              </w:rPr>
            </w:pPr>
          </w:p>
        </w:tc>
        <w:tc>
          <w:tcPr>
            <w:tcW w:w="920" w:type="dxa"/>
            <w:vAlign w:val="bottom"/>
            <w:gridSpan w:val="2"/>
            <w:vMerge w:val="continue"/>
            <w:shd w:val="clear" w:color="auto" w:fill="EEEEEE"/>
          </w:tcPr>
          <w:p>
            <w:pPr>
              <w:spacing w:after="0"/>
              <w:rPr>
                <w:sz w:val="14"/>
                <w:szCs w:val="14"/>
                <w:color w:val="auto"/>
              </w:rPr>
            </w:pPr>
          </w:p>
        </w:tc>
        <w:tc>
          <w:tcPr>
            <w:tcW w:w="9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1180" w:type="dxa"/>
            <w:vAlign w:val="bottom"/>
            <w:gridSpan w:val="3"/>
            <w:shd w:val="clear" w:color="auto" w:fill="EEEEEE"/>
          </w:tcPr>
          <w:p>
            <w:pPr>
              <w:jc w:val="right"/>
              <w:ind w:right="160"/>
              <w:spacing w:after="0"/>
              <w:rPr>
                <w:sz w:val="20"/>
                <w:szCs w:val="20"/>
                <w:color w:val="auto"/>
              </w:rPr>
            </w:pPr>
            <w:r>
              <w:rPr>
                <w:rFonts w:ascii="Arial" w:cs="Arial" w:eastAsia="Arial" w:hAnsi="Arial"/>
                <w:sz w:val="14"/>
                <w:szCs w:val="14"/>
                <w:color w:val="auto"/>
              </w:rPr>
              <w:t>(42,482)</w:t>
            </w:r>
          </w:p>
        </w:tc>
        <w:tc>
          <w:tcPr>
            <w:tcW w:w="100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(42,482)</w:t>
            </w:r>
          </w:p>
        </w:tc>
        <w:tc>
          <w:tcPr>
            <w:tcW w:w="880" w:type="dxa"/>
            <w:vAlign w:val="bottom"/>
            <w:gridSpan w:val="2"/>
            <w:shd w:val="clear" w:color="auto" w:fill="EEEEEE"/>
          </w:tcPr>
          <w:p>
            <w:pPr>
              <w:jc w:val="right"/>
              <w:ind w:right="160"/>
              <w:spacing w:after="0"/>
              <w:rPr>
                <w:sz w:val="20"/>
                <w:szCs w:val="20"/>
                <w:color w:val="auto"/>
              </w:rPr>
            </w:pPr>
            <w:r>
              <w:rPr>
                <w:rFonts w:ascii="Arial" w:cs="Arial" w:eastAsia="Arial" w:hAnsi="Arial"/>
                <w:sz w:val="14"/>
                <w:szCs w:val="14"/>
                <w:color w:val="auto"/>
              </w:rPr>
              <w:t>(3,657)</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(46,139)</w:t>
            </w:r>
          </w:p>
        </w:tc>
        <w:tc>
          <w:tcPr>
            <w:tcW w:w="0" w:type="dxa"/>
            <w:vAlign w:val="bottom"/>
          </w:tcPr>
          <w:p>
            <w:pPr>
              <w:spacing w:after="0"/>
              <w:rPr>
                <w:sz w:val="1"/>
                <w:szCs w:val="1"/>
                <w:color w:val="auto"/>
              </w:rPr>
            </w:pPr>
          </w:p>
        </w:tc>
      </w:tr>
      <w:tr>
        <w:trPr>
          <w:trHeight w:val="130"/>
        </w:trPr>
        <w:tc>
          <w:tcPr>
            <w:tcW w:w="96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80" w:type="dxa"/>
            <w:vAlign w:val="bottom"/>
            <w:gridSpan w:val="2"/>
            <w:vMerge w:val="restart"/>
          </w:tcPr>
          <w:p>
            <w:pPr>
              <w:jc w:val="right"/>
              <w:ind w:right="180"/>
              <w:spacing w:after="0"/>
              <w:rPr>
                <w:sz w:val="20"/>
                <w:szCs w:val="20"/>
                <w:color w:val="auto"/>
              </w:rPr>
            </w:pPr>
            <w:r>
              <w:rPr>
                <w:rFonts w:ascii="Arial" w:cs="Arial" w:eastAsia="Arial" w:hAnsi="Arial"/>
                <w:sz w:val="14"/>
                <w:szCs w:val="14"/>
                <w:b w:val="1"/>
                <w:bCs w:val="1"/>
                <w:color w:val="auto"/>
              </w:rPr>
              <w:t>–</w:t>
            </w:r>
          </w:p>
        </w:tc>
        <w:tc>
          <w:tcPr>
            <w:tcW w:w="920" w:type="dxa"/>
            <w:vAlign w:val="bottom"/>
            <w:gridSpan w:val="2"/>
            <w:vMerge w:val="restart"/>
          </w:tcPr>
          <w:p>
            <w:pPr>
              <w:jc w:val="right"/>
              <w:ind w:right="200"/>
              <w:spacing w:after="0"/>
              <w:rPr>
                <w:sz w:val="20"/>
                <w:szCs w:val="20"/>
                <w:color w:val="auto"/>
              </w:rPr>
            </w:pPr>
            <w:r>
              <w:rPr>
                <w:rFonts w:ascii="Arial" w:cs="Arial" w:eastAsia="Arial" w:hAnsi="Arial"/>
                <w:sz w:val="14"/>
                <w:szCs w:val="14"/>
                <w:b w:val="1"/>
                <w:bCs w:val="1"/>
                <w:color w:val="auto"/>
              </w:rPr>
              <w:t>–</w:t>
            </w:r>
          </w:p>
        </w:tc>
        <w:tc>
          <w:tcPr>
            <w:tcW w:w="7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960" w:type="dxa"/>
            <w:vAlign w:val="bottom"/>
          </w:tcPr>
          <w:p>
            <w:pPr>
              <w:ind w:left="100"/>
              <w:spacing w:after="0"/>
              <w:rPr>
                <w:sz w:val="20"/>
                <w:szCs w:val="20"/>
                <w:color w:val="auto"/>
              </w:rPr>
            </w:pPr>
            <w:r>
              <w:rPr>
                <w:rFonts w:ascii="Arial" w:cs="Arial" w:eastAsia="Arial" w:hAnsi="Arial"/>
                <w:sz w:val="14"/>
                <w:szCs w:val="14"/>
                <w:color w:val="auto"/>
                <w:w w:val="96"/>
              </w:rPr>
              <w:t>compensation</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vMerge w:val="continue"/>
          </w:tcPr>
          <w:p>
            <w:pPr>
              <w:spacing w:after="0"/>
              <w:rPr>
                <w:sz w:val="14"/>
                <w:szCs w:val="14"/>
                <w:color w:val="auto"/>
              </w:rPr>
            </w:pPr>
          </w:p>
        </w:tc>
        <w:tc>
          <w:tcPr>
            <w:tcW w:w="920" w:type="dxa"/>
            <w:vAlign w:val="bottom"/>
            <w:gridSpan w:val="2"/>
            <w:vMerge w:val="continue"/>
          </w:tcPr>
          <w:p>
            <w:pPr>
              <w:spacing w:after="0"/>
              <w:rPr>
                <w:sz w:val="14"/>
                <w:szCs w:val="14"/>
                <w:color w:val="auto"/>
              </w:rPr>
            </w:pP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15,333</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tcPr>
          <w:p>
            <w:pPr>
              <w:spacing w:after="0"/>
              <w:rPr>
                <w:sz w:val="14"/>
                <w:szCs w:val="14"/>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200"/>
              <w:spacing w:after="0"/>
              <w:rPr>
                <w:sz w:val="20"/>
                <w:szCs w:val="20"/>
                <w:color w:val="auto"/>
              </w:rPr>
            </w:pPr>
            <w:r>
              <w:rPr>
                <w:rFonts w:ascii="Arial" w:cs="Arial" w:eastAsia="Arial" w:hAnsi="Arial"/>
                <w:sz w:val="14"/>
                <w:szCs w:val="14"/>
                <w:color w:val="auto"/>
              </w:rPr>
              <w:t>15,333</w:t>
            </w:r>
          </w:p>
        </w:tc>
        <w:tc>
          <w:tcPr>
            <w:tcW w:w="88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15,333</w:t>
            </w:r>
          </w:p>
        </w:tc>
        <w:tc>
          <w:tcPr>
            <w:tcW w:w="0" w:type="dxa"/>
            <w:vAlign w:val="bottom"/>
          </w:tcPr>
          <w:p>
            <w:pPr>
              <w:spacing w:after="0"/>
              <w:rPr>
                <w:sz w:val="1"/>
                <w:szCs w:val="1"/>
                <w:color w:val="auto"/>
              </w:rPr>
            </w:pPr>
          </w:p>
        </w:tc>
      </w:tr>
      <w:tr>
        <w:trPr>
          <w:trHeight w:val="130"/>
        </w:trPr>
        <w:tc>
          <w:tcPr>
            <w:tcW w:w="96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Common stock</w:t>
            </w: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8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0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 w:type="dxa"/>
            <w:vAlign w:val="bottom"/>
            <w:shd w:val="clear" w:color="auto" w:fill="EEEEEE"/>
          </w:tcPr>
          <w:p>
            <w:pPr>
              <w:spacing w:after="0"/>
              <w:rPr>
                <w:sz w:val="11"/>
                <w:szCs w:val="11"/>
                <w:color w:val="auto"/>
              </w:rPr>
            </w:pPr>
          </w:p>
        </w:tc>
        <w:tc>
          <w:tcPr>
            <w:tcW w:w="88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2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960" w:type="dxa"/>
            <w:vAlign w:val="bottom"/>
            <w:shd w:val="clear" w:color="auto" w:fill="EEEEEE"/>
          </w:tcPr>
          <w:p>
            <w:pPr>
              <w:ind w:left="100"/>
              <w:spacing w:after="0"/>
              <w:rPr>
                <w:sz w:val="20"/>
                <w:szCs w:val="20"/>
                <w:color w:val="auto"/>
              </w:rPr>
            </w:pPr>
            <w:r>
              <w:rPr>
                <w:rFonts w:ascii="Arial" w:cs="Arial" w:eastAsia="Arial" w:hAnsi="Arial"/>
                <w:sz w:val="14"/>
                <w:szCs w:val="14"/>
                <w:color w:val="auto"/>
              </w:rPr>
              <w:t>issuance</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325,708</w:t>
            </w:r>
          </w:p>
        </w:tc>
        <w:tc>
          <w:tcPr>
            <w:tcW w:w="88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326</w:t>
            </w:r>
          </w:p>
        </w:tc>
        <w:tc>
          <w:tcPr>
            <w:tcW w:w="88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626,661</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80" w:type="dxa"/>
            <w:vAlign w:val="bottom"/>
            <w:shd w:val="clear" w:color="auto" w:fill="EEEEEE"/>
          </w:tcPr>
          <w:p>
            <w:pPr>
              <w:spacing w:after="0"/>
              <w:rPr>
                <w:sz w:val="14"/>
                <w:szCs w:val="14"/>
                <w:color w:val="auto"/>
              </w:rPr>
            </w:pPr>
          </w:p>
        </w:tc>
        <w:tc>
          <w:tcPr>
            <w:tcW w:w="110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100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626,987</w:t>
            </w:r>
          </w:p>
        </w:tc>
        <w:tc>
          <w:tcPr>
            <w:tcW w:w="880" w:type="dxa"/>
            <w:vAlign w:val="bottom"/>
            <w:gridSpan w:val="2"/>
            <w:shd w:val="clear" w:color="auto" w:fill="EEEEEE"/>
          </w:tcPr>
          <w:p>
            <w:pPr>
              <w:jc w:val="right"/>
              <w:ind w:right="2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626,987</w:t>
            </w:r>
          </w:p>
        </w:tc>
        <w:tc>
          <w:tcPr>
            <w:tcW w:w="0" w:type="dxa"/>
            <w:vAlign w:val="bottom"/>
          </w:tcPr>
          <w:p>
            <w:pPr>
              <w:spacing w:after="0"/>
              <w:rPr>
                <w:sz w:val="1"/>
                <w:szCs w:val="1"/>
                <w:color w:val="auto"/>
              </w:rPr>
            </w:pPr>
          </w:p>
        </w:tc>
      </w:tr>
      <w:tr>
        <w:trPr>
          <w:trHeight w:val="162"/>
        </w:trPr>
        <w:tc>
          <w:tcPr>
            <w:tcW w:w="960" w:type="dxa"/>
            <w:vAlign w:val="bottom"/>
          </w:tcPr>
          <w:p>
            <w:pPr>
              <w:spacing w:after="0"/>
              <w:rPr>
                <w:sz w:val="20"/>
                <w:szCs w:val="20"/>
                <w:color w:val="auto"/>
              </w:rPr>
            </w:pPr>
            <w:r>
              <w:rPr>
                <w:rFonts w:ascii="Arial" w:cs="Arial" w:eastAsia="Arial" w:hAnsi="Arial"/>
                <w:sz w:val="14"/>
                <w:szCs w:val="14"/>
                <w:color w:val="auto"/>
              </w:rPr>
              <w:t>Net loss</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180"/>
              <w:spacing w:after="0"/>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200"/>
              <w:spacing w:after="0"/>
              <w:rPr>
                <w:sz w:val="20"/>
                <w:szCs w:val="20"/>
                <w:color w:val="auto"/>
              </w:rPr>
            </w:pPr>
            <w:r>
              <w:rPr>
                <w:rFonts w:ascii="Arial" w:cs="Arial" w:eastAsia="Arial" w:hAnsi="Arial"/>
                <w:sz w:val="14"/>
                <w:szCs w:val="14"/>
                <w:b w:val="1"/>
                <w:bCs w:val="1"/>
                <w:color w:val="auto"/>
              </w:rPr>
              <w:t>–</w:t>
            </w:r>
          </w:p>
        </w:tc>
        <w:tc>
          <w:tcPr>
            <w:tcW w:w="9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80"/>
              <w:spacing w:after="0"/>
              <w:rPr>
                <w:sz w:val="20"/>
                <w:szCs w:val="20"/>
                <w:color w:val="auto"/>
              </w:rPr>
            </w:pPr>
            <w:r>
              <w:rPr>
                <w:rFonts w:ascii="Arial" w:cs="Arial" w:eastAsia="Arial" w:hAnsi="Arial"/>
                <w:sz w:val="14"/>
                <w:szCs w:val="14"/>
                <w:color w:val="auto"/>
              </w:rPr>
              <w:t>(264,059)</w:t>
            </w:r>
          </w:p>
        </w:tc>
        <w:tc>
          <w:tcPr>
            <w:tcW w:w="80" w:type="dxa"/>
            <w:vAlign w:val="bottom"/>
          </w:tcPr>
          <w:p>
            <w:pPr>
              <w:spacing w:after="0"/>
              <w:rPr>
                <w:sz w:val="14"/>
                <w:szCs w:val="14"/>
                <w:color w:val="auto"/>
              </w:rPr>
            </w:pPr>
          </w:p>
        </w:tc>
        <w:tc>
          <w:tcPr>
            <w:tcW w:w="1100" w:type="dxa"/>
            <w:vAlign w:val="bottom"/>
            <w:gridSpan w:val="2"/>
          </w:tcPr>
          <w:p>
            <w:pPr>
              <w:jc w:val="right"/>
              <w:ind w:right="220"/>
              <w:spacing w:after="0"/>
              <w:rPr>
                <w:sz w:val="20"/>
                <w:szCs w:val="20"/>
                <w:color w:val="auto"/>
              </w:rPr>
            </w:pPr>
            <w:r>
              <w:rPr>
                <w:rFonts w:ascii="Arial" w:cs="Arial" w:eastAsia="Arial" w:hAnsi="Arial"/>
                <w:sz w:val="14"/>
                <w:szCs w:val="14"/>
                <w:color w:val="auto"/>
              </w:rPr>
              <w:t>–</w:t>
            </w:r>
          </w:p>
        </w:tc>
        <w:tc>
          <w:tcPr>
            <w:tcW w:w="1000" w:type="dxa"/>
            <w:vAlign w:val="bottom"/>
            <w:gridSpan w:val="2"/>
          </w:tcPr>
          <w:p>
            <w:pPr>
              <w:jc w:val="right"/>
              <w:ind w:right="140"/>
              <w:spacing w:after="0"/>
              <w:rPr>
                <w:sz w:val="20"/>
                <w:szCs w:val="20"/>
                <w:color w:val="auto"/>
              </w:rPr>
            </w:pPr>
            <w:r>
              <w:rPr>
                <w:rFonts w:ascii="Arial" w:cs="Arial" w:eastAsia="Arial" w:hAnsi="Arial"/>
                <w:sz w:val="14"/>
                <w:szCs w:val="14"/>
                <w:color w:val="auto"/>
              </w:rPr>
              <w:t>(264,059)</w:t>
            </w:r>
          </w:p>
        </w:tc>
        <w:tc>
          <w:tcPr>
            <w:tcW w:w="880" w:type="dxa"/>
            <w:vAlign w:val="bottom"/>
            <w:gridSpan w:val="2"/>
          </w:tcPr>
          <w:p>
            <w:pPr>
              <w:jc w:val="right"/>
              <w:ind w:right="160"/>
              <w:spacing w:after="0"/>
              <w:rPr>
                <w:sz w:val="20"/>
                <w:szCs w:val="20"/>
                <w:color w:val="auto"/>
              </w:rPr>
            </w:pPr>
            <w:r>
              <w:rPr>
                <w:rFonts w:ascii="Arial" w:cs="Arial" w:eastAsia="Arial" w:hAnsi="Arial"/>
                <w:sz w:val="14"/>
                <w:szCs w:val="14"/>
                <w:color w:val="auto"/>
              </w:rPr>
              <w:t>(8,719)</w:t>
            </w:r>
          </w:p>
        </w:tc>
        <w:tc>
          <w:tcPr>
            <w:tcW w:w="920" w:type="dxa"/>
            <w:vAlign w:val="bottom"/>
            <w:gridSpan w:val="2"/>
          </w:tcPr>
          <w:p>
            <w:pPr>
              <w:jc w:val="right"/>
              <w:ind w:right="60"/>
              <w:spacing w:after="0"/>
              <w:rPr>
                <w:sz w:val="20"/>
                <w:szCs w:val="20"/>
                <w:color w:val="auto"/>
              </w:rPr>
            </w:pPr>
            <w:r>
              <w:rPr>
                <w:rFonts w:ascii="Arial" w:cs="Arial" w:eastAsia="Arial" w:hAnsi="Arial"/>
                <w:sz w:val="14"/>
                <w:szCs w:val="14"/>
                <w:color w:val="auto"/>
              </w:rPr>
              <w:t>(272,778)</w:t>
            </w:r>
          </w:p>
        </w:tc>
        <w:tc>
          <w:tcPr>
            <w:tcW w:w="0" w:type="dxa"/>
            <w:vAlign w:val="bottom"/>
          </w:tcPr>
          <w:p>
            <w:pPr>
              <w:spacing w:after="0"/>
              <w:rPr>
                <w:sz w:val="1"/>
                <w:szCs w:val="1"/>
                <w:color w:val="auto"/>
              </w:rPr>
            </w:pPr>
          </w:p>
        </w:tc>
      </w:tr>
      <w:tr>
        <w:trPr>
          <w:trHeight w:val="110"/>
        </w:trPr>
        <w:tc>
          <w:tcPr>
            <w:tcW w:w="960" w:type="dxa"/>
            <w:vAlign w:val="bottom"/>
            <w:tcBorders>
              <w:top w:val="single" w:sz="8" w:color="EEEEEE"/>
            </w:tcBorders>
            <w:shd w:val="clear" w:color="auto" w:fill="EEEEEE"/>
          </w:tcPr>
          <w:p>
            <w:pPr>
              <w:spacing w:after="0" w:line="110" w:lineRule="exact"/>
              <w:rPr>
                <w:sz w:val="20"/>
                <w:szCs w:val="20"/>
                <w:color w:val="auto"/>
              </w:rPr>
            </w:pPr>
            <w:r>
              <w:rPr>
                <w:rFonts w:ascii="Arial" w:cs="Arial" w:eastAsia="Arial" w:hAnsi="Arial"/>
                <w:sz w:val="12"/>
                <w:szCs w:val="12"/>
                <w:color w:val="auto"/>
              </w:rPr>
              <w:t>Balance,</w:t>
            </w:r>
          </w:p>
        </w:tc>
        <w:tc>
          <w:tcPr>
            <w:tcW w:w="74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8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0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72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74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18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80" w:type="dxa"/>
            <w:vAlign w:val="bottom"/>
            <w:tcBorders>
              <w:top w:val="single" w:sz="8" w:color="EEEEEE"/>
            </w:tcBorders>
            <w:shd w:val="clear" w:color="auto" w:fill="EEEEEE"/>
          </w:tcPr>
          <w:p>
            <w:pPr>
              <w:spacing w:after="0"/>
              <w:rPr>
                <w:sz w:val="9"/>
                <w:szCs w:val="9"/>
                <w:color w:val="auto"/>
              </w:rPr>
            </w:pPr>
          </w:p>
        </w:tc>
        <w:tc>
          <w:tcPr>
            <w:tcW w:w="88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200" w:type="dxa"/>
            <w:vAlign w:val="bottom"/>
            <w:tcBorders>
              <w:top w:val="single" w:sz="8" w:color="EEEEEE"/>
            </w:tcBorders>
            <w:shd w:val="clear" w:color="auto" w:fill="EEEEEE"/>
          </w:tcPr>
          <w:p>
            <w:pPr>
              <w:spacing w:after="0"/>
              <w:rPr>
                <w:sz w:val="9"/>
                <w:szCs w:val="9"/>
                <w:color w:val="auto"/>
              </w:rPr>
            </w:pPr>
          </w:p>
        </w:tc>
        <w:tc>
          <w:tcPr>
            <w:tcW w:w="660" w:type="dxa"/>
            <w:vAlign w:val="bottom"/>
            <w:tcBorders>
              <w:top w:val="single" w:sz="8" w:color="auto"/>
            </w:tcBorders>
            <w:shd w:val="clear" w:color="auto" w:fill="EEEEEE"/>
          </w:tcPr>
          <w:p>
            <w:pPr>
              <w:spacing w:after="0"/>
              <w:rPr>
                <w:sz w:val="9"/>
                <w:szCs w:val="9"/>
                <w:color w:val="auto"/>
              </w:rPr>
            </w:pPr>
          </w:p>
        </w:tc>
        <w:tc>
          <w:tcPr>
            <w:tcW w:w="22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96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September</w:t>
            </w:r>
          </w:p>
        </w:tc>
        <w:tc>
          <w:tcPr>
            <w:tcW w:w="940" w:type="dxa"/>
            <w:vAlign w:val="bottom"/>
            <w:gridSpan w:val="2"/>
            <w:vMerge w:val="restart"/>
            <w:shd w:val="clear" w:color="auto" w:fill="EEEEEE"/>
          </w:tcPr>
          <w:p>
            <w:pPr>
              <w:jc w:val="right"/>
              <w:ind w:right="200"/>
              <w:spacing w:after="0"/>
              <w:rPr>
                <w:sz w:val="20"/>
                <w:szCs w:val="20"/>
                <w:color w:val="auto"/>
              </w:rPr>
            </w:pPr>
            <w:r>
              <w:rPr>
                <w:rFonts w:ascii="Arial" w:cs="Arial" w:eastAsia="Arial" w:hAnsi="Arial"/>
                <w:sz w:val="14"/>
                <w:szCs w:val="14"/>
                <w:color w:val="auto"/>
              </w:rPr>
              <w:t>10,019,295</w:t>
            </w:r>
          </w:p>
        </w:tc>
        <w:tc>
          <w:tcPr>
            <w:tcW w:w="880" w:type="dxa"/>
            <w:vAlign w:val="bottom"/>
            <w:gridSpan w:val="2"/>
            <w:vMerge w:val="restart"/>
            <w:shd w:val="clear" w:color="auto" w:fill="EEEEEE"/>
          </w:tcPr>
          <w:p>
            <w:pPr>
              <w:jc w:val="right"/>
              <w:ind w:right="200"/>
              <w:spacing w:after="0"/>
              <w:rPr>
                <w:sz w:val="20"/>
                <w:szCs w:val="20"/>
                <w:color w:val="auto"/>
              </w:rPr>
            </w:pPr>
            <w:r>
              <w:rPr>
                <w:rFonts w:ascii="Arial" w:cs="Arial" w:eastAsia="Arial" w:hAnsi="Arial"/>
                <w:sz w:val="14"/>
                <w:szCs w:val="14"/>
                <w:color w:val="auto"/>
              </w:rPr>
              <w:t>10,019</w:t>
            </w:r>
          </w:p>
        </w:tc>
        <w:tc>
          <w:tcPr>
            <w:tcW w:w="880" w:type="dxa"/>
            <w:vAlign w:val="bottom"/>
            <w:gridSpan w:val="2"/>
            <w:vMerge w:val="restart"/>
            <w:shd w:val="clear" w:color="auto" w:fill="EEEEEE"/>
          </w:tcPr>
          <w:p>
            <w:pPr>
              <w:jc w:val="right"/>
              <w:ind w:right="180"/>
              <w:spacing w:after="0"/>
              <w:rPr>
                <w:sz w:val="20"/>
                <w:szCs w:val="20"/>
                <w:color w:val="auto"/>
              </w:rPr>
            </w:pPr>
            <w:r>
              <w:rPr>
                <w:rFonts w:ascii="Arial" w:cs="Arial" w:eastAsia="Arial" w:hAnsi="Arial"/>
                <w:sz w:val="14"/>
                <w:szCs w:val="14"/>
                <w:color w:val="auto"/>
              </w:rPr>
              <w:t>80,000</w:t>
            </w:r>
          </w:p>
        </w:tc>
        <w:tc>
          <w:tcPr>
            <w:tcW w:w="920" w:type="dxa"/>
            <w:vAlign w:val="bottom"/>
            <w:gridSpan w:val="2"/>
            <w:vMerge w:val="restart"/>
            <w:shd w:val="clear" w:color="auto" w:fill="EEEEEE"/>
          </w:tcPr>
          <w:p>
            <w:pPr>
              <w:jc w:val="right"/>
              <w:ind w:right="200"/>
              <w:spacing w:after="0"/>
              <w:rPr>
                <w:sz w:val="20"/>
                <w:szCs w:val="20"/>
                <w:color w:val="auto"/>
              </w:rPr>
            </w:pPr>
            <w:r>
              <w:rPr>
                <w:rFonts w:ascii="Arial" w:cs="Arial" w:eastAsia="Arial" w:hAnsi="Arial"/>
                <w:sz w:val="14"/>
                <w:szCs w:val="14"/>
                <w:color w:val="auto"/>
              </w:rPr>
              <w:t>80</w:t>
            </w:r>
          </w:p>
        </w:tc>
        <w:tc>
          <w:tcPr>
            <w:tcW w:w="920" w:type="dxa"/>
            <w:vAlign w:val="bottom"/>
            <w:gridSpan w:val="2"/>
            <w:vMerge w:val="restart"/>
            <w:shd w:val="clear" w:color="auto" w:fill="EEEEEE"/>
          </w:tcPr>
          <w:p>
            <w:pPr>
              <w:jc w:val="right"/>
              <w:ind w:right="180"/>
              <w:spacing w:after="0"/>
              <w:rPr>
                <w:sz w:val="20"/>
                <w:szCs w:val="20"/>
                <w:color w:val="auto"/>
              </w:rPr>
            </w:pPr>
            <w:r>
              <w:rPr>
                <w:rFonts w:ascii="Arial" w:cs="Arial" w:eastAsia="Arial" w:hAnsi="Arial"/>
                <w:sz w:val="14"/>
                <w:szCs w:val="14"/>
                <w:color w:val="auto"/>
              </w:rPr>
              <w:t>21,780,117</w:t>
            </w:r>
          </w:p>
        </w:tc>
        <w:tc>
          <w:tcPr>
            <w:tcW w:w="840" w:type="dxa"/>
            <w:vAlign w:val="bottom"/>
            <w:gridSpan w:val="2"/>
            <w:vMerge w:val="restart"/>
            <w:shd w:val="clear" w:color="auto" w:fill="EEEEEE"/>
          </w:tcPr>
          <w:p>
            <w:pPr>
              <w:jc w:val="right"/>
              <w:ind w:right="180"/>
              <w:spacing w:after="0"/>
              <w:rPr>
                <w:sz w:val="20"/>
                <w:szCs w:val="20"/>
                <w:color w:val="auto"/>
              </w:rPr>
            </w:pPr>
            <w:r>
              <w:rPr>
                <w:rFonts w:ascii="Arial" w:cs="Arial" w:eastAsia="Arial" w:hAnsi="Arial"/>
                <w:sz w:val="14"/>
                <w:szCs w:val="14"/>
                <w:color w:val="auto"/>
              </w:rPr>
              <w:t>191,219</w:t>
            </w:r>
          </w:p>
        </w:tc>
        <w:tc>
          <w:tcPr>
            <w:tcW w:w="920" w:type="dxa"/>
            <w:vAlign w:val="bottom"/>
            <w:gridSpan w:val="2"/>
            <w:vMerge w:val="restart"/>
            <w:shd w:val="clear" w:color="auto" w:fill="EEEEEE"/>
          </w:tcPr>
          <w:p>
            <w:pPr>
              <w:jc w:val="right"/>
              <w:ind w:right="80"/>
              <w:spacing w:after="0"/>
              <w:rPr>
                <w:sz w:val="20"/>
                <w:szCs w:val="20"/>
                <w:color w:val="auto"/>
              </w:rPr>
            </w:pPr>
            <w:r>
              <w:rPr>
                <w:rFonts w:ascii="Arial" w:cs="Arial" w:eastAsia="Arial" w:hAnsi="Arial"/>
                <w:sz w:val="14"/>
                <w:szCs w:val="14"/>
                <w:color w:val="auto"/>
              </w:rPr>
              <w:t>(16,310,542)</w:t>
            </w:r>
          </w:p>
        </w:tc>
        <w:tc>
          <w:tcPr>
            <w:tcW w:w="1180" w:type="dxa"/>
            <w:vAlign w:val="bottom"/>
            <w:gridSpan w:val="3"/>
            <w:vMerge w:val="restart"/>
            <w:shd w:val="clear" w:color="auto" w:fill="EEEEEE"/>
          </w:tcPr>
          <w:p>
            <w:pPr>
              <w:jc w:val="right"/>
              <w:ind w:right="220"/>
              <w:spacing w:after="0"/>
              <w:rPr>
                <w:sz w:val="20"/>
                <w:szCs w:val="20"/>
                <w:color w:val="auto"/>
              </w:rPr>
            </w:pPr>
            <w:r>
              <w:rPr>
                <w:rFonts w:ascii="Arial" w:cs="Arial" w:eastAsia="Arial" w:hAnsi="Arial"/>
                <w:sz w:val="14"/>
                <w:szCs w:val="14"/>
                <w:color w:val="auto"/>
              </w:rPr>
              <w:t>41,518</w:t>
            </w:r>
          </w:p>
        </w:tc>
        <w:tc>
          <w:tcPr>
            <w:tcW w:w="1000" w:type="dxa"/>
            <w:vAlign w:val="bottom"/>
            <w:gridSpan w:val="2"/>
            <w:vMerge w:val="restart"/>
            <w:shd w:val="clear" w:color="auto" w:fill="EEEEEE"/>
          </w:tcPr>
          <w:p>
            <w:pPr>
              <w:jc w:val="right"/>
              <w:ind w:right="200"/>
              <w:spacing w:after="0"/>
              <w:rPr>
                <w:sz w:val="20"/>
                <w:szCs w:val="20"/>
                <w:color w:val="auto"/>
              </w:rPr>
            </w:pPr>
            <w:r>
              <w:rPr>
                <w:rFonts w:ascii="Arial" w:cs="Arial" w:eastAsia="Arial" w:hAnsi="Arial"/>
                <w:sz w:val="14"/>
                <w:szCs w:val="14"/>
                <w:color w:val="auto"/>
              </w:rPr>
              <w:t>5,712,411</w:t>
            </w:r>
          </w:p>
        </w:tc>
        <w:tc>
          <w:tcPr>
            <w:tcW w:w="880" w:type="dxa"/>
            <w:vAlign w:val="bottom"/>
            <w:gridSpan w:val="2"/>
            <w:vMerge w:val="restart"/>
            <w:shd w:val="clear" w:color="auto" w:fill="EEEEEE"/>
          </w:tcPr>
          <w:p>
            <w:pPr>
              <w:jc w:val="right"/>
              <w:ind w:right="220"/>
              <w:spacing w:after="0"/>
              <w:rPr>
                <w:sz w:val="20"/>
                <w:szCs w:val="20"/>
                <w:color w:val="auto"/>
              </w:rPr>
            </w:pPr>
            <w:r>
              <w:rPr>
                <w:rFonts w:ascii="Arial" w:cs="Arial" w:eastAsia="Arial" w:hAnsi="Arial"/>
                <w:sz w:val="14"/>
                <w:szCs w:val="14"/>
                <w:color w:val="auto"/>
              </w:rPr>
              <w:t>90,385</w:t>
            </w:r>
          </w:p>
        </w:tc>
        <w:tc>
          <w:tcPr>
            <w:tcW w:w="920" w:type="dxa"/>
            <w:vAlign w:val="bottom"/>
            <w:gridSpan w:val="2"/>
            <w:vMerge w:val="restart"/>
            <w:shd w:val="clear" w:color="auto" w:fill="EEEEEE"/>
          </w:tcPr>
          <w:p>
            <w:pPr>
              <w:jc w:val="right"/>
              <w:ind w:right="100"/>
              <w:spacing w:after="0"/>
              <w:rPr>
                <w:sz w:val="20"/>
                <w:szCs w:val="20"/>
                <w:color w:val="auto"/>
              </w:rPr>
            </w:pPr>
            <w:r>
              <w:rPr>
                <w:rFonts w:ascii="Arial" w:cs="Arial" w:eastAsia="Arial" w:hAnsi="Arial"/>
                <w:sz w:val="14"/>
                <w:szCs w:val="14"/>
                <w:color w:val="auto"/>
              </w:rPr>
              <w:t>5,802,796</w:t>
            </w:r>
          </w:p>
        </w:tc>
        <w:tc>
          <w:tcPr>
            <w:tcW w:w="0" w:type="dxa"/>
            <w:vAlign w:val="bottom"/>
          </w:tcPr>
          <w:p>
            <w:pPr>
              <w:spacing w:after="0"/>
              <w:rPr>
                <w:sz w:val="1"/>
                <w:szCs w:val="1"/>
                <w:color w:val="auto"/>
              </w:rPr>
            </w:pPr>
          </w:p>
        </w:tc>
      </w:tr>
      <w:tr>
        <w:trPr>
          <w:trHeight w:val="154"/>
        </w:trPr>
        <w:tc>
          <w:tcPr>
            <w:tcW w:w="960" w:type="dxa"/>
            <w:vAlign w:val="bottom"/>
            <w:shd w:val="clear" w:color="auto" w:fill="EEEEEE"/>
          </w:tcPr>
          <w:p>
            <w:pPr>
              <w:ind w:left="100"/>
              <w:spacing w:after="0" w:line="154" w:lineRule="exact"/>
              <w:rPr>
                <w:sz w:val="20"/>
                <w:szCs w:val="20"/>
                <w:color w:val="auto"/>
              </w:rPr>
            </w:pPr>
            <w:r>
              <w:rPr>
                <w:rFonts w:ascii="Arial" w:cs="Arial" w:eastAsia="Arial" w:hAnsi="Arial"/>
                <w:sz w:val="14"/>
                <w:szCs w:val="14"/>
                <w:color w:val="auto"/>
              </w:rPr>
              <w:t>30, 2023</w:t>
            </w:r>
          </w:p>
        </w:tc>
        <w:tc>
          <w:tcPr>
            <w:tcW w:w="940" w:type="dxa"/>
            <w:vAlign w:val="bottom"/>
            <w:gridSpan w:val="2"/>
            <w:vMerge w:val="continue"/>
            <w:shd w:val="clear" w:color="auto" w:fill="EEEEEE"/>
          </w:tcPr>
          <w:p>
            <w:pPr>
              <w:spacing w:after="0"/>
              <w:rPr>
                <w:sz w:val="13"/>
                <w:szCs w:val="13"/>
                <w:color w:val="auto"/>
              </w:rPr>
            </w:pPr>
          </w:p>
        </w:tc>
        <w:tc>
          <w:tcPr>
            <w:tcW w:w="880" w:type="dxa"/>
            <w:vAlign w:val="bottom"/>
            <w:gridSpan w:val="2"/>
            <w:vMerge w:val="continue"/>
            <w:shd w:val="clear" w:color="auto" w:fill="EEEEEE"/>
          </w:tcPr>
          <w:p>
            <w:pPr>
              <w:spacing w:after="0"/>
              <w:rPr>
                <w:sz w:val="13"/>
                <w:szCs w:val="13"/>
                <w:color w:val="auto"/>
              </w:rPr>
            </w:pPr>
          </w:p>
        </w:tc>
        <w:tc>
          <w:tcPr>
            <w:tcW w:w="880" w:type="dxa"/>
            <w:vAlign w:val="bottom"/>
            <w:gridSpan w:val="2"/>
            <w:vMerge w:val="continue"/>
            <w:shd w:val="clear" w:color="auto" w:fill="EEEEEE"/>
          </w:tcPr>
          <w:p>
            <w:pPr>
              <w:spacing w:after="0"/>
              <w:rPr>
                <w:sz w:val="13"/>
                <w:szCs w:val="13"/>
                <w:color w:val="auto"/>
              </w:rPr>
            </w:pPr>
          </w:p>
        </w:tc>
        <w:tc>
          <w:tcPr>
            <w:tcW w:w="920" w:type="dxa"/>
            <w:vAlign w:val="bottom"/>
            <w:gridSpan w:val="2"/>
            <w:vMerge w:val="continue"/>
            <w:shd w:val="clear" w:color="auto" w:fill="EEEEEE"/>
          </w:tcPr>
          <w:p>
            <w:pPr>
              <w:spacing w:after="0"/>
              <w:rPr>
                <w:sz w:val="13"/>
                <w:szCs w:val="13"/>
                <w:color w:val="auto"/>
              </w:rPr>
            </w:pPr>
          </w:p>
        </w:tc>
        <w:tc>
          <w:tcPr>
            <w:tcW w:w="920" w:type="dxa"/>
            <w:vAlign w:val="bottom"/>
            <w:gridSpan w:val="2"/>
            <w:vMerge w:val="continue"/>
            <w:shd w:val="clear" w:color="auto" w:fill="EEEEEE"/>
          </w:tcPr>
          <w:p>
            <w:pPr>
              <w:spacing w:after="0"/>
              <w:rPr>
                <w:sz w:val="13"/>
                <w:szCs w:val="13"/>
                <w:color w:val="auto"/>
              </w:rPr>
            </w:pPr>
          </w:p>
        </w:tc>
        <w:tc>
          <w:tcPr>
            <w:tcW w:w="840" w:type="dxa"/>
            <w:vAlign w:val="bottom"/>
            <w:gridSpan w:val="2"/>
            <w:vMerge w:val="continue"/>
            <w:shd w:val="clear" w:color="auto" w:fill="EEEEEE"/>
          </w:tcPr>
          <w:p>
            <w:pPr>
              <w:spacing w:after="0"/>
              <w:rPr>
                <w:sz w:val="13"/>
                <w:szCs w:val="13"/>
                <w:color w:val="auto"/>
              </w:rPr>
            </w:pPr>
          </w:p>
        </w:tc>
        <w:tc>
          <w:tcPr>
            <w:tcW w:w="920" w:type="dxa"/>
            <w:vAlign w:val="bottom"/>
            <w:gridSpan w:val="2"/>
            <w:vMerge w:val="continue"/>
            <w:shd w:val="clear" w:color="auto" w:fill="EEEEEE"/>
          </w:tcPr>
          <w:p>
            <w:pPr>
              <w:spacing w:after="0"/>
              <w:rPr>
                <w:sz w:val="13"/>
                <w:szCs w:val="13"/>
                <w:color w:val="auto"/>
              </w:rPr>
            </w:pPr>
          </w:p>
        </w:tc>
        <w:tc>
          <w:tcPr>
            <w:tcW w:w="1180" w:type="dxa"/>
            <w:vAlign w:val="bottom"/>
            <w:gridSpan w:val="3"/>
            <w:vMerge w:val="continue"/>
            <w:shd w:val="clear" w:color="auto" w:fill="EEEEEE"/>
          </w:tcPr>
          <w:p>
            <w:pPr>
              <w:spacing w:after="0"/>
              <w:rPr>
                <w:sz w:val="13"/>
                <w:szCs w:val="13"/>
                <w:color w:val="auto"/>
              </w:rPr>
            </w:pPr>
          </w:p>
        </w:tc>
        <w:tc>
          <w:tcPr>
            <w:tcW w:w="1000" w:type="dxa"/>
            <w:vAlign w:val="bottom"/>
            <w:gridSpan w:val="2"/>
            <w:vMerge w:val="continue"/>
            <w:shd w:val="clear" w:color="auto" w:fill="EEEEEE"/>
          </w:tcPr>
          <w:p>
            <w:pPr>
              <w:spacing w:after="0"/>
              <w:rPr>
                <w:sz w:val="13"/>
                <w:szCs w:val="13"/>
                <w:color w:val="auto"/>
              </w:rPr>
            </w:pPr>
          </w:p>
        </w:tc>
        <w:tc>
          <w:tcPr>
            <w:tcW w:w="880" w:type="dxa"/>
            <w:vAlign w:val="bottom"/>
            <w:gridSpan w:val="2"/>
            <w:vMerge w:val="continue"/>
            <w:shd w:val="clear" w:color="auto" w:fill="EEEEEE"/>
          </w:tcPr>
          <w:p>
            <w:pPr>
              <w:spacing w:after="0"/>
              <w:rPr>
                <w:sz w:val="13"/>
                <w:szCs w:val="13"/>
                <w:color w:val="auto"/>
              </w:rPr>
            </w:pPr>
          </w:p>
        </w:tc>
        <w:tc>
          <w:tcPr>
            <w:tcW w:w="920" w:type="dxa"/>
            <w:vAlign w:val="bottom"/>
            <w:gridSpan w:val="2"/>
            <w:vMerge w:val="continue"/>
            <w:shd w:val="clear" w:color="auto" w:fill="EEEEEE"/>
          </w:tcPr>
          <w:p>
            <w:pPr>
              <w:spacing w:after="0"/>
              <w:rPr>
                <w:sz w:val="13"/>
                <w:szCs w:val="13"/>
                <w:color w:val="auto"/>
              </w:rPr>
            </w:pPr>
          </w:p>
        </w:tc>
        <w:tc>
          <w:tcPr>
            <w:tcW w:w="0" w:type="dxa"/>
            <w:vAlign w:val="bottom"/>
          </w:tcPr>
          <w:p>
            <w:pPr>
              <w:spacing w:after="0"/>
              <w:rPr>
                <w:sz w:val="1"/>
                <w:szCs w:val="1"/>
                <w:color w:val="auto"/>
              </w:rPr>
            </w:pPr>
          </w:p>
        </w:tc>
      </w:tr>
      <w:tr>
        <w:trPr>
          <w:trHeight w:val="20"/>
        </w:trPr>
        <w:tc>
          <w:tcPr>
            <w:tcW w:w="960" w:type="dxa"/>
            <w:vAlign w:val="bottom"/>
            <w:tcBorders>
              <w:top w:val="single" w:sz="8" w:color="EEEEEE"/>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6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70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8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202" w:right="339" w:bottom="1440" w:gutter="0" w:footer="0" w:header="0"/>
        </w:sectPr>
      </w:pPr>
    </w:p>
    <w:bookmarkStart w:id="9" w:name="page10"/>
    <w:bookmarkEnd w:id="9"/>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w:t>
        <w:tab/>
        <w:t>PRINCIPAL ACTIVITIES AND ORGANIZATION</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consolidated financial statements include the financial statements of Nocera, Inc. (“Nocera” or the “Company”) and its subsidiaries, Grand Smooth Inc. Limited (“GSI”) and Guizhou Grand Smooth Technology Ltd. (“GZ GST” or “WFOE”), and Meixin Institutional Food Development Co., Ltd. (“Meixin”) that is controlled through contractual arrangements. The Company, GSI, GZ GST and Mexin are collectively referred to as the “Company.”</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Nocera was incorporated in the State of Nevada on February 1, 2002 and is based in New Taipei City, Taiwan (R.O.C.). It did not engage in any operations and was dormant from its inception until its reverse merger with GSI on December 31,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Reverse Merger</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Effective December 31, 2018, Nocera completed a reverse merger transaction (the “Transaction”) pursuant to an Agreement and Plan of Merger (the “Agreement”), with (i) GSI, (ii) GSI’s shareholders, Yin-Chieh Cheng and Bi Zhang, who together owned shares constituting 100% of the issued and outstanding ordinary shares of GSI (the “GSI Shares”) and (iii) GSI Acquisition Corp. Under the terms of the Agreement, the GSI Shareholders transferred to Nocera all of the GSI Shares in exchange for the issuance of 10,000,000 shares (the “Shares”) of Nocera’s common stock (the “Share Exchange”). As a result of the reverse merger, GSI became Nocera’s wholly-owned subsidiary and Yin-Chieh Cheng and Bi Zhang, the former shareholders of GSI, became Nocera’s controlling shareholders. The share exchange transaction with GSI was treated as a reverse merger, with GSI as the accounting acquirer and Nocera as the acquired party.</w:t>
      </w: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color w:val="auto"/>
        </w:rPr>
        <w:t>GSI is a limited company established under the laws and regulations of Hong Kong on August 1, 2014, and is a holding company without any operations.</w:t>
      </w:r>
    </w:p>
    <w:p>
      <w:pPr>
        <w:spacing w:after="0" w:line="24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GZ WFH was incorporated in Xingyi City, Guizhou Province, People’s Republic of China (“PRC”) on October 25, 2017, and is engaged in providing fish farming containers service, which integrates sales, installments, and maintenance of aquaculture equipment. The registered capital of GZ WFH is RMB$5,000,000 (equal to US$733,138).</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On November 13, 2018, GSI incorporated GZ GST in PRC with registered capital of US$15,000.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Divestiture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September 21, 2020, the Company filed a Current Report on Form 8-K outlining the lack of communication that led to the termination by Nocera of its relationship with its former variable interest entity, Guizhou Wan Feng Hu Intelligent Aquatic Technology Co. Limited (“GZ WFH”) and its management, and termination of the variable interest entity agreements between the parties.</w:t>
      </w:r>
    </w:p>
    <w:p>
      <w:pPr>
        <w:spacing w:after="0" w:line="184"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Subsequently on October 8, 2020, Zhang Bi and GZ WFH entered into a Settlement Agreement and Release with Nocera wherein all claims as to GZ WFH’s debt (claim to shares in Nocera or GZ GST) were compromised, settled, and otherwise resolved as to any and all claims or causes of action whatsoever against Nocera for any matter, action, or representation as to Nocera, and any debt to ownership of Nocera or GZ GST up to the date of the agreement. The consideration for the agreement was mutual waiver of any and all claims against each other and GZ GST, and GZ WFH (including Zhang Bi) waived any claims to Nocera stock, meaning the 4,750,000 shares of common stock of Nocera owned by Zhang Bi were cancelled as part of the agreement. The Settlement Agreement and Release is attached hereto as Exhibit 10.8.</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i w:val="1"/>
          <w:iCs w:val="1"/>
          <w:u w:val="single" w:color="auto"/>
          <w:color w:val="auto"/>
        </w:rPr>
        <w:t>The VIE Agreements</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Han-Chieh Shih (the “Purchaser”), in which we sold our controlling interest of XFC, to the Purchaser for a total purchase cash price of $300,000 (the “XFC Sale”). The closing of the XFC Sale occurred on November 30, 2022 and the XFC variable interest entity (“VIE”) agreements were terminated in connection with the XFC Sale.</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The VIE Agreements with Meixin</w:t>
      </w:r>
    </w:p>
    <w:p>
      <w:pPr>
        <w:spacing w:after="0" w:line="23"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Nocera.</w:t>
      </w:r>
    </w:p>
    <w:p>
      <w:pPr>
        <w:spacing w:after="0" w:line="172"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2</w:t>
        <w:tab/>
        <w:t>SUMMARY OF SIGNIFICANT ACCOUNTING POLICY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accompanying unaudited condensed consolidated financial statements have been prepared in accordance with accounting principles generally accepted in the United States of America (“GAAP”) and pursuant to the rules and regulations of the United States Securities and Exchange Commission (“SEC”) for interim financial information. Accordingly, these financial statements do not include all of the information and footnotes required for complete financial statements and should be read in conjunction with the audited consolidated financial statements and accompanying notes included in the Company’s Annual Report on Form 10-K for the year ended December 31, 2022 filed with the SEC on March 31, 2023.</w:t>
      </w:r>
    </w:p>
    <w:p>
      <w:pPr>
        <w:spacing w:after="0" w:line="17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the opinion of management, all adjustments (which include normal recurring adjustments) necessary to present a fair presentation of the Company’s unaudited condensed consolidated financial position as of September 30, 2023, its consolidated results of operations for the nine months ended September 30, 2023, cash flows for the nine months ended September 30, 2023 and change in equity for the nine months ended September 30, 2023, as applicable, have been made. Operating results for the nine months ended September 30, 2023 are not necessarily indicative of the operating results that may be expected for the year ending December 31, 2023 or any future periods.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Concentrations of Credit Risk</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Financial instruments that potentially expose the Company to concentrations of credit risk consist primarily of accounts receivable. The Company conducts credit evaluations of its customers and suppliers and generally does not require collateral or other security from them. The Company evaluates its collection experience and long outstanding balances to determine the need for an allowance for doubtful accounts. The Company conducts periodic reviews of the financial condition and payment practices of its customers to minimize collection risk on accounts receivable.</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were seven customers who represent 99% of the Company’s total revenue for the nine months ended September 30, 2023. There were four customers who represent 83% of the Company’s total revenue for the nine months ended September 30, 2022.</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a summary of single customers who represent 10% or more of the Company’s total accounts receivable, net:</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560" w:type="dxa"/>
            <w:vAlign w:val="bottom"/>
          </w:tcPr>
          <w:p>
            <w:pPr>
              <w:spacing w:after="0"/>
              <w:rPr>
                <w:sz w:val="18"/>
                <w:szCs w:val="18"/>
                <w:color w:val="auto"/>
              </w:rPr>
            </w:pPr>
          </w:p>
        </w:tc>
        <w:tc>
          <w:tcPr>
            <w:tcW w:w="3100" w:type="dxa"/>
            <w:vAlign w:val="bottom"/>
          </w:tcPr>
          <w:p>
            <w:pPr>
              <w:spacing w:after="0"/>
              <w:rPr>
                <w:sz w:val="18"/>
                <w:szCs w:val="18"/>
                <w:color w:val="auto"/>
              </w:rPr>
            </w:pPr>
          </w:p>
        </w:tc>
        <w:tc>
          <w:tcPr>
            <w:tcW w:w="1900" w:type="dxa"/>
            <w:vAlign w:val="bottom"/>
            <w:gridSpan w:val="2"/>
          </w:tcPr>
          <w:p>
            <w:pPr>
              <w:jc w:val="center"/>
              <w:ind w:right="360"/>
              <w:spacing w:after="0"/>
              <w:rPr>
                <w:sz w:val="20"/>
                <w:szCs w:val="20"/>
                <w:color w:val="auto"/>
              </w:rPr>
            </w:pPr>
            <w:r>
              <w:rPr>
                <w:rFonts w:ascii="Arial" w:cs="Arial" w:eastAsia="Arial" w:hAnsi="Arial"/>
                <w:sz w:val="18"/>
                <w:szCs w:val="18"/>
                <w:b w:val="1"/>
                <w:bCs w:val="1"/>
                <w:color w:val="auto"/>
                <w:w w:val="89"/>
              </w:rPr>
              <w:t>September 30,</w:t>
            </w:r>
          </w:p>
        </w:tc>
        <w:tc>
          <w:tcPr>
            <w:tcW w:w="16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0"/>
              </w:rPr>
              <w:t>December 31,</w:t>
            </w:r>
          </w:p>
        </w:tc>
        <w:tc>
          <w:tcPr>
            <w:tcW w:w="0" w:type="dxa"/>
            <w:vAlign w:val="bottom"/>
          </w:tcPr>
          <w:p>
            <w:pPr>
              <w:spacing w:after="0"/>
              <w:rPr>
                <w:sz w:val="1"/>
                <w:szCs w:val="1"/>
                <w:color w:val="auto"/>
              </w:rPr>
            </w:pPr>
          </w:p>
        </w:tc>
      </w:tr>
      <w:tr>
        <w:trPr>
          <w:trHeight w:val="234"/>
        </w:trPr>
        <w:tc>
          <w:tcPr>
            <w:tcW w:w="4560" w:type="dxa"/>
            <w:vAlign w:val="bottom"/>
          </w:tcPr>
          <w:p>
            <w:pPr>
              <w:spacing w:after="0"/>
              <w:rPr>
                <w:sz w:val="20"/>
                <w:szCs w:val="20"/>
                <w:color w:val="auto"/>
              </w:rPr>
            </w:pPr>
          </w:p>
        </w:tc>
        <w:tc>
          <w:tcPr>
            <w:tcW w:w="4680" w:type="dxa"/>
            <w:vAlign w:val="bottom"/>
            <w:gridSpan w:val="2"/>
          </w:tcPr>
          <w:p>
            <w:pPr>
              <w:jc w:val="center"/>
              <w:ind w:left="3030"/>
              <w:spacing w:after="0"/>
              <w:rPr>
                <w:sz w:val="20"/>
                <w:szCs w:val="20"/>
                <w:color w:val="auto"/>
              </w:rPr>
            </w:pPr>
            <w:r>
              <w:rPr>
                <w:rFonts w:ascii="Arial" w:cs="Arial" w:eastAsia="Arial" w:hAnsi="Arial"/>
                <w:sz w:val="18"/>
                <w:szCs w:val="18"/>
                <w:b w:val="1"/>
                <w:bCs w:val="1"/>
                <w:color w:val="auto"/>
                <w:w w:val="89"/>
              </w:rPr>
              <w:t>2023</w:t>
            </w:r>
          </w:p>
        </w:tc>
        <w:tc>
          <w:tcPr>
            <w:tcW w:w="320" w:type="dxa"/>
            <w:vAlign w:val="bottom"/>
          </w:tcPr>
          <w:p>
            <w:pPr>
              <w:spacing w:after="0"/>
              <w:rPr>
                <w:sz w:val="20"/>
                <w:szCs w:val="20"/>
                <w:color w:val="auto"/>
              </w:rPr>
            </w:pP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89"/>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560" w:type="dxa"/>
            <w:vAlign w:val="bottom"/>
          </w:tcPr>
          <w:p>
            <w:pPr>
              <w:spacing w:after="0"/>
              <w:rPr>
                <w:sz w:val="18"/>
                <w:szCs w:val="18"/>
                <w:color w:val="auto"/>
              </w:rPr>
            </w:pPr>
          </w:p>
        </w:tc>
        <w:tc>
          <w:tcPr>
            <w:tcW w:w="3100" w:type="dxa"/>
            <w:vAlign w:val="bottom"/>
          </w:tcPr>
          <w:p>
            <w:pPr>
              <w:spacing w:after="0"/>
              <w:rPr>
                <w:sz w:val="18"/>
                <w:szCs w:val="18"/>
                <w:color w:val="auto"/>
              </w:rPr>
            </w:pPr>
          </w:p>
        </w:tc>
        <w:tc>
          <w:tcPr>
            <w:tcW w:w="15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1"/>
              </w:rPr>
              <w:t>(Unaudited)</w:t>
            </w:r>
          </w:p>
        </w:tc>
        <w:tc>
          <w:tcPr>
            <w:tcW w:w="320" w:type="dxa"/>
            <w:vAlign w:val="bottom"/>
          </w:tcPr>
          <w:p>
            <w:pPr>
              <w:spacing w:after="0"/>
              <w:rPr>
                <w:sz w:val="18"/>
                <w:szCs w:val="18"/>
                <w:color w:val="auto"/>
              </w:rPr>
            </w:pPr>
          </w:p>
        </w:tc>
        <w:tc>
          <w:tcPr>
            <w:tcW w:w="15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5"/>
              </w:rPr>
              <w:t>(Audited)</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60" w:type="dxa"/>
            <w:vAlign w:val="bottom"/>
            <w:shd w:val="clear" w:color="auto" w:fill="EEEEEE"/>
          </w:tcPr>
          <w:p>
            <w:pPr>
              <w:spacing w:after="0"/>
              <w:rPr>
                <w:sz w:val="20"/>
                <w:szCs w:val="20"/>
                <w:color w:val="auto"/>
              </w:rPr>
            </w:pPr>
            <w:r>
              <w:rPr>
                <w:rFonts w:ascii="Arial" w:cs="Arial" w:eastAsia="Arial" w:hAnsi="Arial"/>
                <w:sz w:val="18"/>
                <w:szCs w:val="18"/>
                <w:color w:val="auto"/>
              </w:rPr>
              <w:t>Percentage of the Company’s accounts receivable</w:t>
            </w:r>
          </w:p>
        </w:tc>
        <w:tc>
          <w:tcPr>
            <w:tcW w:w="310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60" w:type="dxa"/>
            <w:vAlign w:val="bottom"/>
          </w:tcPr>
          <w:p>
            <w:pPr>
              <w:spacing w:after="0"/>
              <w:rPr>
                <w:sz w:val="20"/>
                <w:szCs w:val="20"/>
                <w:color w:val="auto"/>
              </w:rPr>
            </w:pPr>
            <w:r>
              <w:rPr>
                <w:rFonts w:ascii="Arial" w:cs="Arial" w:eastAsia="Arial" w:hAnsi="Arial"/>
                <w:sz w:val="18"/>
                <w:szCs w:val="18"/>
                <w:color w:val="auto"/>
              </w:rPr>
              <w:t>Customer A</w:t>
            </w:r>
          </w:p>
        </w:tc>
        <w:tc>
          <w:tcPr>
            <w:tcW w:w="5000" w:type="dxa"/>
            <w:vAlign w:val="bottom"/>
            <w:gridSpan w:val="3"/>
          </w:tcPr>
          <w:p>
            <w:pPr>
              <w:jc w:val="right"/>
              <w:ind w:right="320"/>
              <w:spacing w:after="0"/>
              <w:rPr>
                <w:sz w:val="20"/>
                <w:szCs w:val="20"/>
                <w:color w:val="auto"/>
              </w:rPr>
            </w:pPr>
            <w:r>
              <w:rPr>
                <w:rFonts w:ascii="Arial" w:cs="Arial" w:eastAsia="Arial" w:hAnsi="Arial"/>
                <w:sz w:val="18"/>
                <w:szCs w:val="18"/>
                <w:color w:val="auto"/>
              </w:rPr>
              <w:t>41.55%</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50.83%</w:t>
            </w:r>
          </w:p>
        </w:tc>
        <w:tc>
          <w:tcPr>
            <w:tcW w:w="0" w:type="dxa"/>
            <w:vAlign w:val="bottom"/>
          </w:tcPr>
          <w:p>
            <w:pPr>
              <w:spacing w:after="0"/>
              <w:rPr>
                <w:sz w:val="1"/>
                <w:szCs w:val="1"/>
                <w:color w:val="auto"/>
              </w:rPr>
            </w:pPr>
          </w:p>
        </w:tc>
      </w:tr>
      <w:tr>
        <w:trPr>
          <w:trHeight w:val="216"/>
        </w:trPr>
        <w:tc>
          <w:tcPr>
            <w:tcW w:w="4560" w:type="dxa"/>
            <w:vAlign w:val="bottom"/>
            <w:shd w:val="clear" w:color="auto" w:fill="EEEEEE"/>
          </w:tcPr>
          <w:p>
            <w:pPr>
              <w:spacing w:after="0"/>
              <w:rPr>
                <w:sz w:val="20"/>
                <w:szCs w:val="20"/>
                <w:color w:val="auto"/>
              </w:rPr>
            </w:pPr>
            <w:r>
              <w:rPr>
                <w:rFonts w:ascii="Arial" w:cs="Arial" w:eastAsia="Arial" w:hAnsi="Arial"/>
                <w:sz w:val="18"/>
                <w:szCs w:val="18"/>
                <w:color w:val="auto"/>
              </w:rPr>
              <w:t>Customer B</w:t>
            </w:r>
          </w:p>
        </w:tc>
        <w:tc>
          <w:tcPr>
            <w:tcW w:w="5000" w:type="dxa"/>
            <w:vAlign w:val="bottom"/>
            <w:gridSpan w:val="3"/>
            <w:shd w:val="clear" w:color="auto" w:fill="EEEEEE"/>
          </w:tcPr>
          <w:p>
            <w:pPr>
              <w:jc w:val="right"/>
              <w:ind w:right="320"/>
              <w:spacing w:after="0"/>
              <w:rPr>
                <w:sz w:val="20"/>
                <w:szCs w:val="20"/>
                <w:color w:val="auto"/>
              </w:rPr>
            </w:pPr>
            <w:r>
              <w:rPr>
                <w:rFonts w:ascii="Arial" w:cs="Arial" w:eastAsia="Arial" w:hAnsi="Arial"/>
                <w:sz w:val="18"/>
                <w:szCs w:val="18"/>
                <w:color w:val="auto"/>
              </w:rPr>
              <w:t>10.00%</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31.82%</w:t>
            </w:r>
          </w:p>
        </w:tc>
        <w:tc>
          <w:tcPr>
            <w:tcW w:w="0" w:type="dxa"/>
            <w:vAlign w:val="bottom"/>
          </w:tcPr>
          <w:p>
            <w:pPr>
              <w:spacing w:after="0"/>
              <w:rPr>
                <w:sz w:val="1"/>
                <w:szCs w:val="1"/>
                <w:color w:val="auto"/>
              </w:rPr>
            </w:pPr>
          </w:p>
        </w:tc>
      </w:tr>
      <w:tr>
        <w:trPr>
          <w:trHeight w:val="216"/>
        </w:trPr>
        <w:tc>
          <w:tcPr>
            <w:tcW w:w="4560" w:type="dxa"/>
            <w:vAlign w:val="bottom"/>
          </w:tcPr>
          <w:p>
            <w:pPr>
              <w:spacing w:after="0"/>
              <w:rPr>
                <w:sz w:val="20"/>
                <w:szCs w:val="20"/>
                <w:color w:val="auto"/>
              </w:rPr>
            </w:pPr>
            <w:r>
              <w:rPr>
                <w:rFonts w:ascii="Arial" w:cs="Arial" w:eastAsia="Arial" w:hAnsi="Arial"/>
                <w:sz w:val="18"/>
                <w:szCs w:val="18"/>
                <w:color w:val="auto"/>
              </w:rPr>
              <w:t>Customer C</w:t>
            </w:r>
          </w:p>
        </w:tc>
        <w:tc>
          <w:tcPr>
            <w:tcW w:w="5000" w:type="dxa"/>
            <w:vAlign w:val="bottom"/>
            <w:gridSpan w:val="3"/>
          </w:tcPr>
          <w:p>
            <w:pPr>
              <w:jc w:val="right"/>
              <w:ind w:right="320"/>
              <w:spacing w:after="0"/>
              <w:rPr>
                <w:sz w:val="20"/>
                <w:szCs w:val="20"/>
                <w:color w:val="auto"/>
              </w:rPr>
            </w:pPr>
            <w:r>
              <w:rPr>
                <w:rFonts w:ascii="Arial" w:cs="Arial" w:eastAsia="Arial" w:hAnsi="Arial"/>
                <w:sz w:val="18"/>
                <w:szCs w:val="18"/>
                <w:color w:val="auto"/>
              </w:rPr>
              <w:t>10.88%</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14.73%</w:t>
            </w:r>
          </w:p>
        </w:tc>
        <w:tc>
          <w:tcPr>
            <w:tcW w:w="0" w:type="dxa"/>
            <w:vAlign w:val="bottom"/>
          </w:tcPr>
          <w:p>
            <w:pPr>
              <w:spacing w:after="0"/>
              <w:rPr>
                <w:sz w:val="1"/>
                <w:szCs w:val="1"/>
                <w:color w:val="auto"/>
              </w:rPr>
            </w:pPr>
          </w:p>
        </w:tc>
      </w:tr>
      <w:tr>
        <w:trPr>
          <w:trHeight w:val="229"/>
        </w:trPr>
        <w:tc>
          <w:tcPr>
            <w:tcW w:w="4560" w:type="dxa"/>
            <w:vAlign w:val="bottom"/>
            <w:shd w:val="clear" w:color="auto" w:fill="EEEEEE"/>
          </w:tcPr>
          <w:p>
            <w:pPr>
              <w:spacing w:after="0"/>
              <w:rPr>
                <w:sz w:val="20"/>
                <w:szCs w:val="20"/>
                <w:color w:val="auto"/>
              </w:rPr>
            </w:pPr>
            <w:r>
              <w:rPr>
                <w:rFonts w:ascii="Arial" w:cs="Arial" w:eastAsia="Arial" w:hAnsi="Arial"/>
                <w:sz w:val="18"/>
                <w:szCs w:val="18"/>
                <w:color w:val="auto"/>
              </w:rPr>
              <w:t>Customer D</w:t>
            </w:r>
          </w:p>
        </w:tc>
        <w:tc>
          <w:tcPr>
            <w:tcW w:w="5000" w:type="dxa"/>
            <w:vAlign w:val="bottom"/>
            <w:gridSpan w:val="3"/>
            <w:shd w:val="clear" w:color="auto" w:fill="EEEEEE"/>
          </w:tcPr>
          <w:p>
            <w:pPr>
              <w:jc w:val="right"/>
              <w:ind w:right="320"/>
              <w:spacing w:after="0"/>
              <w:rPr>
                <w:sz w:val="20"/>
                <w:szCs w:val="20"/>
                <w:color w:val="auto"/>
              </w:rPr>
            </w:pPr>
            <w:r>
              <w:rPr>
                <w:rFonts w:ascii="Arial" w:cs="Arial" w:eastAsia="Arial" w:hAnsi="Arial"/>
                <w:sz w:val="18"/>
                <w:szCs w:val="18"/>
                <w:color w:val="auto"/>
              </w:rPr>
              <w:t>10.58%</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560" w:type="dxa"/>
            <w:vAlign w:val="bottom"/>
          </w:tcPr>
          <w:p>
            <w:pPr>
              <w:spacing w:after="0"/>
              <w:rPr>
                <w:sz w:val="19"/>
                <w:szCs w:val="19"/>
                <w:color w:val="auto"/>
              </w:rPr>
            </w:pPr>
          </w:p>
        </w:tc>
        <w:tc>
          <w:tcPr>
            <w:tcW w:w="310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73.01%</w:t>
            </w:r>
          </w:p>
        </w:tc>
        <w:tc>
          <w:tcPr>
            <w:tcW w:w="3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97.38%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560" w:type="dxa"/>
            <w:vAlign w:val="bottom"/>
          </w:tcPr>
          <w:p>
            <w:pPr>
              <w:spacing w:after="0" w:line="20" w:lineRule="exact"/>
              <w:rPr>
                <w:sz w:val="1"/>
                <w:szCs w:val="1"/>
                <w:color w:val="auto"/>
              </w:rPr>
            </w:pPr>
          </w:p>
        </w:tc>
        <w:tc>
          <w:tcPr>
            <w:tcW w:w="3100" w:type="dxa"/>
            <w:vAlign w:val="bottom"/>
            <w:vMerge w:val="restart"/>
          </w:tcPr>
          <w:p>
            <w:pPr>
              <w:jc w:val="right"/>
              <w:ind w:right="1850"/>
              <w:spacing w:after="0"/>
              <w:rPr>
                <w:sz w:val="20"/>
                <w:szCs w:val="20"/>
                <w:color w:val="auto"/>
              </w:rPr>
            </w:pPr>
            <w:r>
              <w:rPr>
                <w:rFonts w:ascii="Arial" w:cs="Arial" w:eastAsia="Arial" w:hAnsi="Arial"/>
                <w:sz w:val="18"/>
                <w:szCs w:val="18"/>
                <w:color w:val="auto"/>
              </w:rPr>
              <w:t>11</w:t>
            </w:r>
          </w:p>
        </w:tc>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36"/>
        </w:trPr>
        <w:tc>
          <w:tcPr>
            <w:tcW w:w="4560" w:type="dxa"/>
            <w:vAlign w:val="bottom"/>
            <w:tcBorders>
              <w:bottom w:val="single" w:sz="8" w:color="auto"/>
            </w:tcBorders>
          </w:tcPr>
          <w:p>
            <w:pPr>
              <w:spacing w:after="0"/>
              <w:rPr>
                <w:sz w:val="24"/>
                <w:szCs w:val="24"/>
                <w:color w:val="auto"/>
              </w:rPr>
            </w:pPr>
          </w:p>
        </w:tc>
        <w:tc>
          <w:tcPr>
            <w:tcW w:w="3100" w:type="dxa"/>
            <w:vAlign w:val="bottom"/>
            <w:tcBorders>
              <w:bottom w:val="single" w:sz="8" w:color="auto"/>
            </w:tcBorders>
            <w:vMerge w:val="continue"/>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00" w:right="339" w:bottom="1440" w:gutter="0" w:footer="0" w:header="0"/>
        </w:sectPr>
      </w:pPr>
    </w:p>
    <w:bookmarkStart w:id="11" w:name="page12"/>
    <w:bookmarkEnd w:id="11"/>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Company recognizes revenue in accordance with Accounting Standards Codification (“ASC”) 606, “Revenue from Contracts with Customers.”</w:t>
      </w:r>
    </w:p>
    <w:p>
      <w:pPr>
        <w:spacing w:after="0" w:line="23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the Company applies the following steps:</w:t>
      </w:r>
    </w:p>
    <w:p>
      <w:pPr>
        <w:spacing w:after="0" w:line="184" w:lineRule="exact"/>
        <w:rPr>
          <w:sz w:val="20"/>
          <w:szCs w:val="20"/>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Step 1: Identify the contract(s) with a customer</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Step 2: Identify the performance obligations in the contract</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Step 3: Determine the transaction price</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Step 4: Allocate the transaction price to the performance obligation in the contract</w:t>
      </w:r>
    </w:p>
    <w:p>
      <w:pPr>
        <w:spacing w:after="0" w:line="225" w:lineRule="exact"/>
        <w:rPr>
          <w:rFonts w:ascii="Arial" w:cs="Arial" w:eastAsia="Arial" w:hAnsi="Arial"/>
          <w:sz w:val="18"/>
          <w:szCs w:val="18"/>
          <w:color w:val="auto"/>
        </w:rPr>
      </w:pPr>
    </w:p>
    <w:p>
      <w:pPr>
        <w:ind w:left="980" w:hanging="324"/>
        <w:spacing w:after="0"/>
        <w:tabs>
          <w:tab w:leader="none" w:pos="980" w:val="left"/>
        </w:tabs>
        <w:numPr>
          <w:ilvl w:val="0"/>
          <w:numId w:val="2"/>
        </w:numPr>
        <w:rPr>
          <w:rFonts w:ascii="Arial" w:cs="Arial" w:eastAsia="Arial" w:hAnsi="Arial"/>
          <w:sz w:val="18"/>
          <w:szCs w:val="18"/>
          <w:color w:val="auto"/>
        </w:rPr>
      </w:pPr>
      <w:r>
        <w:rPr>
          <w:rFonts w:ascii="Arial" w:cs="Arial" w:eastAsia="Arial" w:hAnsi="Arial"/>
          <w:sz w:val="18"/>
          <w:szCs w:val="18"/>
          <w:color w:val="auto"/>
        </w:rPr>
        <w:t>Step 5: Recognize revenue when (or as) the entity satisfies a performance obligation</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Company recognizes revenue when (or as) the Company satisfies performance obligations by transferring promised goods or services to its customers. Revenue is measured at the transaction price which is based on the amount of consideration that the Company expects to receive in exchange for transferring the promised goods or services to its customers. Contracts with customers are comprised of invoices and written contracts.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 Company does not have arrangements for returns from customers. The Company has no sales incentive programs.</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Company provides goods, maintenance service warranties for the goods sold with a period varying from 18 months to 72 months, a majority of which are 18 months, and exclusive sales agency license to its customers. For performance obligation related to providing products, the Company expects to recognize the revenue according to the delivery of products. For performance obligation related to maintenance service warranties, the Company expects to recognize the revenue on a ratable basis using a time-based output method. The performance obligations are typically satisfied as services are rendered on a straight-line basis over the contract term, which is generally for 18 months as a majority of the maintenance service warranties periods provided are 18 months. For performance obligation related to exclusive agency licenses, the Company recognizes the revenue ratably upon the satisfaction over the estimated economic life of the license.</w:t>
      </w:r>
    </w:p>
    <w:p>
      <w:pPr>
        <w:spacing w:after="0" w:line="177"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The Company does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25"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The FASB issued several updates during the period, none of these standards are either applicable to the Company or require adoption at a future date and none are expected to have a material impact on the consolidated financial statements upon adoption.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2" w:name="page13"/>
    <w:bookmarkEnd w:id="12"/>
    <w:p>
      <w:pPr>
        <w:spacing w:after="0"/>
        <w:tabs>
          <w:tab w:leader="none" w:pos="760" w:val="left"/>
        </w:tabs>
        <w:rPr>
          <w:sz w:val="20"/>
          <w:szCs w:val="20"/>
          <w:color w:val="auto"/>
        </w:rPr>
      </w:pPr>
      <w:r>
        <w:rPr>
          <w:rFonts w:ascii="Arial" w:cs="Arial" w:eastAsia="Arial" w:hAnsi="Arial"/>
          <w:sz w:val="18"/>
          <w:szCs w:val="18"/>
          <w:b w:val="1"/>
          <w:bCs w:val="1"/>
          <w:color w:val="auto"/>
        </w:rPr>
        <w:t>Note 3</w:t>
      </w:r>
      <w:r>
        <w:rPr>
          <w:sz w:val="20"/>
          <w:szCs w:val="20"/>
          <w:color w:val="auto"/>
        </w:rPr>
        <w:tab/>
      </w:r>
      <w:r>
        <w:rPr>
          <w:rFonts w:ascii="Arial" w:cs="Arial" w:eastAsia="Arial" w:hAnsi="Arial"/>
          <w:sz w:val="17"/>
          <w:szCs w:val="17"/>
          <w:b w:val="1"/>
          <w:bCs w:val="1"/>
          <w:color w:val="auto"/>
        </w:rPr>
        <w:t>ACCOUNTS RECEIVABLE, NET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September 30, 2023 and December 31, 2022, accounts receivable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Accounts receivable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Less: Allowance for doubtful accounts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25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September 30,</w:t>
            </w:r>
          </w:p>
        </w:tc>
        <w:tc>
          <w:tcPr>
            <w:tcW w:w="1600" w:type="dxa"/>
            <w:vAlign w:val="bottom"/>
            <w:gridSpan w:val="2"/>
          </w:tcPr>
          <w:p>
            <w:pPr>
              <w:ind w:left="2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580" w:type="dxa"/>
            <w:vAlign w:val="bottom"/>
          </w:tcPr>
          <w:p>
            <w:pPr>
              <w:jc w:val="right"/>
              <w:ind w:right="230"/>
              <w:spacing w:after="0" w:line="195" w:lineRule="exact"/>
              <w:rPr>
                <w:sz w:val="20"/>
                <w:szCs w:val="20"/>
                <w:color w:val="auto"/>
              </w:rPr>
            </w:pPr>
            <w:r>
              <w:rPr>
                <w:rFonts w:ascii="Arial" w:cs="Arial" w:eastAsia="Arial" w:hAnsi="Arial"/>
                <w:sz w:val="18"/>
                <w:szCs w:val="18"/>
                <w:b w:val="1"/>
                <w:bCs w:val="1"/>
                <w:color w:val="auto"/>
              </w:rPr>
              <w:t>(Unaudited)</w:t>
            </w:r>
          </w:p>
        </w:tc>
        <w:tc>
          <w:tcPr>
            <w:tcW w:w="320" w:type="dxa"/>
            <w:vAlign w:val="bottom"/>
          </w:tcPr>
          <w:p>
            <w:pPr>
              <w:spacing w:after="0"/>
              <w:rPr>
                <w:sz w:val="16"/>
                <w:szCs w:val="16"/>
                <w:color w:val="auto"/>
              </w:rPr>
            </w:pPr>
          </w:p>
        </w:tc>
        <w:tc>
          <w:tcPr>
            <w:tcW w:w="1580" w:type="dxa"/>
            <w:vAlign w:val="bottom"/>
          </w:tcPr>
          <w:p>
            <w:pPr>
              <w:jc w:val="right"/>
              <w:ind w:right="330"/>
              <w:spacing w:after="0" w:line="195" w:lineRule="exact"/>
              <w:rPr>
                <w:sz w:val="20"/>
                <w:szCs w:val="20"/>
                <w:color w:val="auto"/>
              </w:rPr>
            </w:pPr>
            <w:r>
              <w:rPr>
                <w:rFonts w:ascii="Arial" w:cs="Arial" w:eastAsia="Arial" w:hAnsi="Arial"/>
                <w:sz w:val="18"/>
                <w:szCs w:val="18"/>
                <w:b w:val="1"/>
                <w:bCs w:val="1"/>
                <w:color w:val="auto"/>
              </w:rPr>
              <w:t>(Audited)</w:t>
            </w:r>
          </w:p>
        </w:tc>
        <w:tc>
          <w:tcPr>
            <w:tcW w:w="20" w:type="dxa"/>
            <w:vAlign w:val="bottom"/>
          </w:tcPr>
          <w:p>
            <w:pPr>
              <w:spacing w:after="0"/>
              <w:rPr>
                <w:sz w:val="16"/>
                <w:szCs w:val="16"/>
                <w:color w:val="auto"/>
              </w:rPr>
            </w:pPr>
          </w:p>
        </w:tc>
      </w:tr>
      <w:tr>
        <w:trPr>
          <w:trHeight w:val="216"/>
        </w:trPr>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29"/>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243,515</w:t>
            </w:r>
          </w:p>
        </w:tc>
        <w:tc>
          <w:tcPr>
            <w:tcW w:w="1580" w:type="dxa"/>
            <w:vAlign w:val="bottom"/>
          </w:tcPr>
          <w:p>
            <w:pPr>
              <w:jc w:val="right"/>
              <w:spacing w:after="0"/>
              <w:rPr>
                <w:sz w:val="20"/>
                <w:szCs w:val="20"/>
                <w:color w:val="auto"/>
              </w:rPr>
            </w:pPr>
            <w:r>
              <w:rPr>
                <w:rFonts w:ascii="Arial" w:cs="Arial" w:eastAsia="Arial" w:hAnsi="Arial"/>
                <w:sz w:val="18"/>
                <w:szCs w:val="18"/>
                <w:color w:val="auto"/>
              </w:rPr>
              <w:t>209,777</w:t>
            </w:r>
          </w:p>
        </w:tc>
        <w:tc>
          <w:tcPr>
            <w:tcW w:w="20" w:type="dxa"/>
            <w:vAlign w:val="bottom"/>
          </w:tcPr>
          <w:p>
            <w:pPr>
              <w:spacing w:after="0"/>
              <w:rPr>
                <w:sz w:val="19"/>
                <w:szCs w:val="19"/>
                <w:color w:val="auto"/>
              </w:rPr>
            </w:pP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23"/>
        </w:trPr>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243,515</w:t>
            </w:r>
          </w:p>
        </w:tc>
        <w:tc>
          <w:tcPr>
            <w:tcW w:w="3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209,777</w:t>
            </w:r>
          </w:p>
        </w:tc>
        <w:tc>
          <w:tcPr>
            <w:tcW w:w="20" w:type="dxa"/>
            <w:vAlign w:val="bottom"/>
            <w:tcBorders>
              <w:top w:val="single" w:sz="8" w:color="auto"/>
              <w:bottom w:val="single" w:sz="8" w:color="auto"/>
            </w:tcBorders>
          </w:tcPr>
          <w:p>
            <w:pPr>
              <w:spacing w:after="0"/>
              <w:rPr>
                <w:sz w:val="19"/>
                <w:szCs w:val="19"/>
                <w:color w:val="auto"/>
              </w:rPr>
            </w:pP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120" w:space="540"/>
            <w:col w:w="3580"/>
          </w:cols>
          <w:pgMar w:left="320" w:top="796" w:right="339" w:bottom="1440" w:gutter="0" w:footer="0" w:header="0"/>
        </w:sectPr>
      </w:pPr>
    </w:p>
    <w:p>
      <w:pPr>
        <w:spacing w:after="0" w:line="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For the nine months ended September 30, 2023 and for the year ended December 31, 2022, the Company has recorded provision for doubtful accounts of nil.</w:t>
      </w:r>
    </w:p>
    <w:p>
      <w:pPr>
        <w:sectPr>
          <w:pgSz w:w="11900" w:h="16838" w:orient="portrait"/>
          <w:cols w:equalWidth="0" w:num="1">
            <w:col w:w="11240"/>
          </w:cols>
          <w:pgMar w:left="320" w:top="796" w:right="339" w:bottom="1440" w:gutter="0" w:footer="0" w:header="0"/>
          <w:type w:val="continuous"/>
        </w:sectPr>
      </w:pPr>
    </w:p>
    <w:p>
      <w:pPr>
        <w:spacing w:after="0" w:line="166"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4</w:t>
        <w:tab/>
        <w:t>INVENTORIES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September 30, 2023 and December 31, 2022, inventories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Raw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Work in process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25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268"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5</w:t>
      </w:r>
      <w:r>
        <w:rPr>
          <w:sz w:val="20"/>
          <w:szCs w:val="20"/>
          <w:color w:val="auto"/>
        </w:rPr>
        <w:tab/>
      </w:r>
      <w:r>
        <w:rPr>
          <w:rFonts w:ascii="Arial" w:cs="Arial" w:eastAsia="Arial" w:hAnsi="Arial"/>
          <w:sz w:val="17"/>
          <w:szCs w:val="17"/>
          <w:b w:val="1"/>
          <w:bCs w:val="1"/>
          <w:color w:val="auto"/>
        </w:rPr>
        <w:t>PREPAID EXPENSES AND OTHER ASSETS, NET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September 30,</w:t>
            </w:r>
          </w:p>
        </w:tc>
        <w:tc>
          <w:tcPr>
            <w:tcW w:w="1600" w:type="dxa"/>
            <w:vAlign w:val="bottom"/>
            <w:gridSpan w:val="2"/>
          </w:tcPr>
          <w:p>
            <w:pPr>
              <w:ind w:left="2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580" w:type="dxa"/>
            <w:vAlign w:val="bottom"/>
          </w:tcPr>
          <w:p>
            <w:pPr>
              <w:jc w:val="right"/>
              <w:ind w:right="230"/>
              <w:spacing w:after="0" w:line="195" w:lineRule="exact"/>
              <w:rPr>
                <w:sz w:val="20"/>
                <w:szCs w:val="20"/>
                <w:color w:val="auto"/>
              </w:rPr>
            </w:pPr>
            <w:r>
              <w:rPr>
                <w:rFonts w:ascii="Arial" w:cs="Arial" w:eastAsia="Arial" w:hAnsi="Arial"/>
                <w:sz w:val="18"/>
                <w:szCs w:val="18"/>
                <w:b w:val="1"/>
                <w:bCs w:val="1"/>
                <w:color w:val="auto"/>
              </w:rPr>
              <w:t>(Unaudited)</w:t>
            </w:r>
          </w:p>
        </w:tc>
        <w:tc>
          <w:tcPr>
            <w:tcW w:w="320" w:type="dxa"/>
            <w:vAlign w:val="bottom"/>
          </w:tcPr>
          <w:p>
            <w:pPr>
              <w:spacing w:after="0"/>
              <w:rPr>
                <w:sz w:val="16"/>
                <w:szCs w:val="16"/>
                <w:color w:val="auto"/>
              </w:rPr>
            </w:pPr>
          </w:p>
        </w:tc>
        <w:tc>
          <w:tcPr>
            <w:tcW w:w="1580" w:type="dxa"/>
            <w:vAlign w:val="bottom"/>
          </w:tcPr>
          <w:p>
            <w:pPr>
              <w:jc w:val="right"/>
              <w:ind w:right="330"/>
              <w:spacing w:after="0" w:line="195" w:lineRule="exact"/>
              <w:rPr>
                <w:sz w:val="20"/>
                <w:szCs w:val="20"/>
                <w:color w:val="auto"/>
              </w:rPr>
            </w:pPr>
            <w:r>
              <w:rPr>
                <w:rFonts w:ascii="Arial" w:cs="Arial" w:eastAsia="Arial" w:hAnsi="Arial"/>
                <w:sz w:val="18"/>
                <w:szCs w:val="18"/>
                <w:b w:val="1"/>
                <w:bCs w:val="1"/>
                <w:color w:val="auto"/>
              </w:rPr>
              <w:t>(Audited)</w:t>
            </w:r>
          </w:p>
        </w:tc>
        <w:tc>
          <w:tcPr>
            <w:tcW w:w="20" w:type="dxa"/>
            <w:vAlign w:val="bottom"/>
          </w:tcPr>
          <w:p>
            <w:pPr>
              <w:spacing w:after="0"/>
              <w:rPr>
                <w:sz w:val="16"/>
                <w:szCs w:val="16"/>
                <w:color w:val="auto"/>
              </w:rPr>
            </w:pPr>
          </w:p>
        </w:tc>
      </w:tr>
      <w:tr>
        <w:trPr>
          <w:trHeight w:val="216"/>
        </w:trPr>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29"/>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85,857</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91,781</w:t>
            </w: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23"/>
        </w:trPr>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85,857</w:t>
            </w:r>
          </w:p>
        </w:tc>
        <w:tc>
          <w:tcPr>
            <w:tcW w:w="320" w:type="dxa"/>
            <w:vAlign w:val="bottom"/>
          </w:tcPr>
          <w:p>
            <w:pPr>
              <w:spacing w:after="0"/>
              <w:rPr>
                <w:sz w:val="19"/>
                <w:szCs w:val="19"/>
                <w:color w:val="auto"/>
              </w:rPr>
            </w:pPr>
          </w:p>
        </w:tc>
        <w:tc>
          <w:tcPr>
            <w:tcW w:w="16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91,781</w:t>
            </w: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604" w:lineRule="exact"/>
        <w:rPr>
          <w:sz w:val="20"/>
          <w:szCs w:val="20"/>
          <w:color w:val="auto"/>
        </w:rPr>
      </w:pPr>
    </w:p>
    <w:p>
      <w:pPr>
        <w:sectPr>
          <w:pgSz w:w="11900" w:h="16838" w:orient="portrait"/>
          <w:cols w:equalWidth="0" w:num="2">
            <w:col w:w="6940" w:space="720"/>
            <w:col w:w="3580"/>
          </w:cols>
          <w:pgMar w:left="320" w:top="796"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color w:val="auto"/>
        </w:rPr>
        <w:t>Other receivables from third party</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Others</w:t>
      </w:r>
    </w:p>
    <w:p>
      <w:pPr>
        <w:spacing w:after="0" w:line="9"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Prepaid expenses and other assets, net</w:t>
      </w:r>
    </w:p>
    <w:p>
      <w:pPr>
        <w:spacing w:after="0" w:line="20" w:lineRule="exact"/>
        <w:rPr>
          <w:sz w:val="20"/>
          <w:szCs w:val="20"/>
          <w:color w:val="auto"/>
        </w:rPr>
      </w:pPr>
      <w:r>
        <w:rPr>
          <w:sz w:val="20"/>
          <w:szCs w:val="20"/>
          <w:color w:val="auto"/>
        </w:rPr>
        <w:br w:type="column"/>
      </w:r>
    </w:p>
    <w:p>
      <w:pPr>
        <w:spacing w:after="0" w:line="5"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September 30,</w:t>
            </w:r>
          </w:p>
        </w:tc>
        <w:tc>
          <w:tcPr>
            <w:tcW w:w="1600" w:type="dxa"/>
            <w:vAlign w:val="bottom"/>
            <w:gridSpan w:val="2"/>
          </w:tcPr>
          <w:p>
            <w:pPr>
              <w:ind w:left="2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580" w:type="dxa"/>
            <w:vAlign w:val="bottom"/>
          </w:tcPr>
          <w:p>
            <w:pPr>
              <w:jc w:val="right"/>
              <w:ind w:right="230"/>
              <w:spacing w:after="0" w:line="195" w:lineRule="exact"/>
              <w:rPr>
                <w:sz w:val="20"/>
                <w:szCs w:val="20"/>
                <w:color w:val="auto"/>
              </w:rPr>
            </w:pPr>
            <w:r>
              <w:rPr>
                <w:rFonts w:ascii="Arial" w:cs="Arial" w:eastAsia="Arial" w:hAnsi="Arial"/>
                <w:sz w:val="18"/>
                <w:szCs w:val="18"/>
                <w:b w:val="1"/>
                <w:bCs w:val="1"/>
                <w:color w:val="auto"/>
              </w:rPr>
              <w:t>(Unaudited)</w:t>
            </w:r>
          </w:p>
        </w:tc>
        <w:tc>
          <w:tcPr>
            <w:tcW w:w="320" w:type="dxa"/>
            <w:vAlign w:val="bottom"/>
          </w:tcPr>
          <w:p>
            <w:pPr>
              <w:spacing w:after="0"/>
              <w:rPr>
                <w:sz w:val="16"/>
                <w:szCs w:val="16"/>
                <w:color w:val="auto"/>
              </w:rPr>
            </w:pPr>
          </w:p>
        </w:tc>
        <w:tc>
          <w:tcPr>
            <w:tcW w:w="1580" w:type="dxa"/>
            <w:vAlign w:val="bottom"/>
          </w:tcPr>
          <w:p>
            <w:pPr>
              <w:jc w:val="right"/>
              <w:ind w:right="330"/>
              <w:spacing w:after="0" w:line="195" w:lineRule="exact"/>
              <w:rPr>
                <w:sz w:val="20"/>
                <w:szCs w:val="20"/>
                <w:color w:val="auto"/>
              </w:rPr>
            </w:pPr>
            <w:r>
              <w:rPr>
                <w:rFonts w:ascii="Arial" w:cs="Arial" w:eastAsia="Arial" w:hAnsi="Arial"/>
                <w:sz w:val="18"/>
                <w:szCs w:val="18"/>
                <w:b w:val="1"/>
                <w:bCs w:val="1"/>
                <w:color w:val="auto"/>
              </w:rPr>
              <w:t>(Audited)</w:t>
            </w:r>
          </w:p>
        </w:tc>
        <w:tc>
          <w:tcPr>
            <w:tcW w:w="20" w:type="dxa"/>
            <w:vAlign w:val="bottom"/>
          </w:tcPr>
          <w:p>
            <w:pPr>
              <w:spacing w:after="0"/>
              <w:rPr>
                <w:sz w:val="16"/>
                <w:szCs w:val="16"/>
                <w:color w:val="auto"/>
              </w:rPr>
            </w:pPr>
          </w:p>
        </w:tc>
      </w:tr>
      <w:tr>
        <w:trPr>
          <w:trHeight w:val="216"/>
        </w:trPr>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151,496</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27,470</w:t>
            </w: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23"/>
        </w:trPr>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151,496</w:t>
            </w:r>
          </w:p>
        </w:tc>
        <w:tc>
          <w:tcPr>
            <w:tcW w:w="320" w:type="dxa"/>
            <w:vAlign w:val="bottom"/>
          </w:tcPr>
          <w:p>
            <w:pPr>
              <w:spacing w:after="0"/>
              <w:rPr>
                <w:sz w:val="19"/>
                <w:szCs w:val="19"/>
                <w:color w:val="auto"/>
              </w:rPr>
            </w:pPr>
          </w:p>
        </w:tc>
        <w:tc>
          <w:tcPr>
            <w:tcW w:w="16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27,470</w:t>
            </w: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-4858385</wp:posOffset>
            </wp:positionH>
            <wp:positionV relativeFrom="paragraph">
              <wp:posOffset>-462280</wp:posOffset>
            </wp:positionV>
            <wp:extent cx="7132320" cy="137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-4858385</wp:posOffset>
            </wp:positionH>
            <wp:positionV relativeFrom="paragraph">
              <wp:posOffset>-179070</wp:posOffset>
            </wp:positionV>
            <wp:extent cx="7132320" cy="1625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6940" w:space="720"/>
            <w:col w:w="3580"/>
          </w:cols>
          <w:pgMar w:left="320" w:top="796"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13" w:name="page14"/>
    <w:bookmarkEnd w:id="13"/>
    <w:p>
      <w:pPr>
        <w:spacing w:after="0"/>
        <w:tabs>
          <w:tab w:leader="none" w:pos="760" w:val="left"/>
        </w:tabs>
        <w:rPr>
          <w:sz w:val="20"/>
          <w:szCs w:val="20"/>
          <w:color w:val="auto"/>
        </w:rPr>
      </w:pPr>
      <w:r>
        <w:rPr>
          <w:rFonts w:ascii="Arial" w:cs="Arial" w:eastAsia="Arial" w:hAnsi="Arial"/>
          <w:sz w:val="18"/>
          <w:szCs w:val="18"/>
          <w:b w:val="1"/>
          <w:bCs w:val="1"/>
          <w:color w:val="auto"/>
        </w:rPr>
        <w:t>Note 6</w:t>
        <w:tab/>
        <w:t>PROPERTY AND EQUIPMENT, NET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September 30, 2023 and December 31, 2022, property and equipment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Land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Equipment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460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Less: Accumulated depreciation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Property and equipment, net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September 30,</w:t>
            </w:r>
          </w:p>
        </w:tc>
        <w:tc>
          <w:tcPr>
            <w:tcW w:w="1640" w:type="dxa"/>
            <w:vAlign w:val="bottom"/>
            <w:gridSpan w:val="3"/>
          </w:tcPr>
          <w:p>
            <w:pPr>
              <w:jc w:val="right"/>
              <w:ind w:right="3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195"/>
        </w:trPr>
        <w:tc>
          <w:tcPr>
            <w:tcW w:w="1580" w:type="dxa"/>
            <w:vAlign w:val="bottom"/>
          </w:tcPr>
          <w:p>
            <w:pPr>
              <w:jc w:val="right"/>
              <w:ind w:right="230"/>
              <w:spacing w:after="0" w:line="195" w:lineRule="exact"/>
              <w:rPr>
                <w:sz w:val="20"/>
                <w:szCs w:val="20"/>
                <w:color w:val="auto"/>
              </w:rPr>
            </w:pPr>
            <w:r>
              <w:rPr>
                <w:rFonts w:ascii="Arial" w:cs="Arial" w:eastAsia="Arial" w:hAnsi="Arial"/>
                <w:sz w:val="18"/>
                <w:szCs w:val="18"/>
                <w:b w:val="1"/>
                <w:bCs w:val="1"/>
                <w:color w:val="auto"/>
              </w:rPr>
              <w:t>(Unaudited)</w:t>
            </w:r>
          </w:p>
        </w:tc>
        <w:tc>
          <w:tcPr>
            <w:tcW w:w="320" w:type="dxa"/>
            <w:vAlign w:val="bottom"/>
          </w:tcPr>
          <w:p>
            <w:pPr>
              <w:spacing w:after="0"/>
              <w:rPr>
                <w:sz w:val="16"/>
                <w:szCs w:val="16"/>
                <w:color w:val="auto"/>
              </w:rPr>
            </w:pPr>
          </w:p>
        </w:tc>
        <w:tc>
          <w:tcPr>
            <w:tcW w:w="1580" w:type="dxa"/>
            <w:vAlign w:val="bottom"/>
          </w:tcPr>
          <w:p>
            <w:pPr>
              <w:jc w:val="right"/>
              <w:ind w:right="330"/>
              <w:spacing w:after="0" w:line="195" w:lineRule="exact"/>
              <w:rPr>
                <w:sz w:val="20"/>
                <w:szCs w:val="20"/>
                <w:color w:val="auto"/>
              </w:rPr>
            </w:pPr>
            <w:r>
              <w:rPr>
                <w:rFonts w:ascii="Arial" w:cs="Arial" w:eastAsia="Arial" w:hAnsi="Arial"/>
                <w:sz w:val="18"/>
                <w:szCs w:val="18"/>
                <w:b w:val="1"/>
                <w:bCs w:val="1"/>
                <w:color w:val="auto"/>
              </w:rPr>
              <w:t>(Audited)</w:t>
            </w:r>
          </w:p>
        </w:tc>
        <w:tc>
          <w:tcPr>
            <w:tcW w:w="60" w:type="dxa"/>
            <w:vAlign w:val="bottom"/>
            <w:gridSpan w:val="2"/>
          </w:tcPr>
          <w:p>
            <w:pPr>
              <w:spacing w:after="0"/>
              <w:rPr>
                <w:sz w:val="16"/>
                <w:szCs w:val="16"/>
                <w:color w:val="auto"/>
              </w:rPr>
            </w:pPr>
          </w:p>
        </w:tc>
      </w:tr>
      <w:tr>
        <w:trPr>
          <w:trHeight w:val="216"/>
        </w:trPr>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877,870</w:t>
            </w:r>
          </w:p>
        </w:tc>
        <w:tc>
          <w:tcPr>
            <w:tcW w:w="16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862,629</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903,867</w:t>
            </w:r>
          </w:p>
        </w:tc>
        <w:tc>
          <w:tcPr>
            <w:tcW w:w="40" w:type="dxa"/>
            <w:vAlign w:val="bottom"/>
          </w:tcPr>
          <w:p>
            <w:pPr>
              <w:spacing w:after="0"/>
              <w:rPr>
                <w:sz w:val="18"/>
                <w:szCs w:val="18"/>
                <w:color w:val="auto"/>
              </w:rPr>
            </w:pPr>
          </w:p>
        </w:tc>
      </w:tr>
      <w:tr>
        <w:trPr>
          <w:trHeight w:val="244"/>
        </w:trPr>
        <w:tc>
          <w:tcPr>
            <w:tcW w:w="1900" w:type="dxa"/>
            <w:vAlign w:val="bottom"/>
            <w:gridSpan w:val="2"/>
          </w:tcPr>
          <w:p>
            <w:pPr>
              <w:jc w:val="right"/>
              <w:ind w:right="260"/>
              <w:spacing w:after="0"/>
              <w:rPr>
                <w:sz w:val="20"/>
                <w:szCs w:val="20"/>
                <w:color w:val="auto"/>
              </w:rPr>
            </w:pPr>
            <w:r>
              <w:rPr>
                <w:rFonts w:ascii="Arial" w:cs="Arial" w:eastAsia="Arial" w:hAnsi="Arial"/>
                <w:sz w:val="18"/>
                <w:szCs w:val="18"/>
                <w:color w:val="auto"/>
              </w:rPr>
              <w:t>(182,172)</w:t>
            </w:r>
          </w:p>
        </w:tc>
        <w:tc>
          <w:tcPr>
            <w:tcW w:w="1640" w:type="dxa"/>
            <w:vAlign w:val="bottom"/>
            <w:gridSpan w:val="3"/>
          </w:tcPr>
          <w:p>
            <w:pPr>
              <w:jc w:val="right"/>
              <w:spacing w:after="0"/>
              <w:rPr>
                <w:sz w:val="20"/>
                <w:szCs w:val="20"/>
                <w:color w:val="auto"/>
              </w:rPr>
            </w:pPr>
            <w:r>
              <w:rPr>
                <w:rFonts w:ascii="Arial" w:cs="Arial" w:eastAsia="Arial" w:hAnsi="Arial"/>
                <w:sz w:val="18"/>
                <w:szCs w:val="18"/>
                <w:color w:val="auto"/>
              </w:rPr>
              <w:t>(59,254)</w:t>
            </w:r>
          </w:p>
        </w:tc>
      </w:tr>
      <w:tr>
        <w:trPr>
          <w:trHeight w:val="223"/>
        </w:trPr>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1,558,327</w:t>
            </w:r>
          </w:p>
        </w:tc>
        <w:tc>
          <w:tcPr>
            <w:tcW w:w="320" w:type="dxa"/>
            <w:vAlign w:val="bottom"/>
          </w:tcPr>
          <w:p>
            <w:pPr>
              <w:spacing w:after="0"/>
              <w:rPr>
                <w:sz w:val="19"/>
                <w:szCs w:val="19"/>
                <w:color w:val="auto"/>
              </w:rPr>
            </w:pPr>
          </w:p>
        </w:tc>
        <w:tc>
          <w:tcPr>
            <w:tcW w:w="16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844,613</w:t>
            </w:r>
          </w:p>
        </w:tc>
        <w:tc>
          <w:tcPr>
            <w:tcW w:w="40" w:type="dxa"/>
            <w:vAlign w:val="bottom"/>
          </w:tcPr>
          <w:p>
            <w:pPr>
              <w:spacing w:after="0"/>
              <w:rPr>
                <w:sz w:val="19"/>
                <w:szCs w:val="19"/>
                <w:color w:val="auto"/>
              </w:rPr>
            </w:pP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40" w:space="220"/>
            <w:col w:w="3580"/>
          </w:cols>
          <w:pgMar w:left="320" w:top="796" w:right="339" w:bottom="1440" w:gutter="0" w:footer="0" w:header="0"/>
        </w:sectPr>
      </w:pPr>
    </w:p>
    <w:p>
      <w:pPr>
        <w:spacing w:after="0" w:line="2" w:lineRule="exact"/>
        <w:rPr>
          <w:sz w:val="20"/>
          <w:szCs w:val="20"/>
          <w:color w:val="auto"/>
        </w:rPr>
      </w:pPr>
    </w:p>
    <w:p>
      <w:pPr>
        <w:ind w:right="20"/>
        <w:spacing w:after="0" w:line="308" w:lineRule="auto"/>
        <w:rPr>
          <w:sz w:val="20"/>
          <w:szCs w:val="20"/>
          <w:color w:val="auto"/>
        </w:rPr>
      </w:pPr>
      <w:r>
        <w:rPr>
          <w:rFonts w:ascii="Arial" w:cs="Arial" w:eastAsia="Arial" w:hAnsi="Arial"/>
          <w:sz w:val="17"/>
          <w:szCs w:val="17"/>
          <w:color w:val="auto"/>
        </w:rPr>
        <w:t>On November 18, 2022, the Company paid US$20,000 for deposit to purchase 229 contiguous acres of land located in Montgomery County, Alabama to build RASs on that land for fish farming. On February 16, 2023, the Company paid US$857,870 and the land acquisition was completed.</w:t>
      </w:r>
    </w:p>
    <w:p>
      <w:pPr>
        <w:spacing w:after="0" w:line="14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Depreciation expenses for the nine months ended September 30, 2023 and 2022 were $109,953 and $975, respectively, and $28,345 and $454 for the three months ended September 30, 2023 and 2022, respectively.</w:t>
      </w:r>
    </w:p>
    <w:p>
      <w:pPr>
        <w:spacing w:after="0" w:line="166"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7</w:t>
      </w:r>
      <w:r>
        <w:rPr>
          <w:sz w:val="20"/>
          <w:szCs w:val="20"/>
          <w:color w:val="auto"/>
        </w:rPr>
        <w:tab/>
      </w:r>
      <w:r>
        <w:rPr>
          <w:rFonts w:ascii="Arial" w:cs="Arial" w:eastAsia="Arial" w:hAnsi="Arial"/>
          <w:sz w:val="17"/>
          <w:szCs w:val="17"/>
          <w:b w:val="1"/>
          <w:bCs w:val="1"/>
          <w:color w:val="auto"/>
        </w:rPr>
        <w:t>FINANCIAL ASSETS AT FAIR VALUE THROUGH PROFIT OR LOSS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fair value of each investment in equity instrument to be measured at fair value through profit or loss is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0" w:type="dxa"/>
            <w:vAlign w:val="bottom"/>
          </w:tcPr>
          <w:p>
            <w:pPr>
              <w:spacing w:after="0"/>
              <w:rPr>
                <w:sz w:val="18"/>
                <w:szCs w:val="18"/>
                <w:color w:val="auto"/>
              </w:rPr>
            </w:pPr>
          </w:p>
        </w:tc>
        <w:tc>
          <w:tcPr>
            <w:tcW w:w="7100" w:type="dxa"/>
            <w:vAlign w:val="bottom"/>
          </w:tcPr>
          <w:p>
            <w:pPr>
              <w:spacing w:after="0"/>
              <w:rPr>
                <w:sz w:val="18"/>
                <w:szCs w:val="18"/>
                <w:color w:val="auto"/>
              </w:rPr>
            </w:pPr>
          </w:p>
        </w:tc>
        <w:tc>
          <w:tcPr>
            <w:tcW w:w="190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September 30,</w:t>
            </w:r>
          </w:p>
        </w:tc>
        <w:tc>
          <w:tcPr>
            <w:tcW w:w="1680" w:type="dxa"/>
            <w:vAlign w:val="bottom"/>
            <w:gridSpan w:val="3"/>
          </w:tcPr>
          <w:p>
            <w:pPr>
              <w:ind w:left="2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560" w:type="dxa"/>
            <w:vAlign w:val="bottom"/>
          </w:tcPr>
          <w:p>
            <w:pPr>
              <w:spacing w:after="0"/>
              <w:rPr>
                <w:sz w:val="20"/>
                <w:szCs w:val="20"/>
                <w:color w:val="auto"/>
              </w:rPr>
            </w:pPr>
          </w:p>
        </w:tc>
        <w:tc>
          <w:tcPr>
            <w:tcW w:w="7100" w:type="dxa"/>
            <w:vAlign w:val="bottom"/>
          </w:tcPr>
          <w:p>
            <w:pPr>
              <w:spacing w:after="0"/>
              <w:rPr>
                <w:sz w:val="20"/>
                <w:szCs w:val="20"/>
                <w:color w:val="auto"/>
              </w:rPr>
            </w:pPr>
          </w:p>
        </w:tc>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191"/>
        </w:trPr>
        <w:tc>
          <w:tcPr>
            <w:tcW w:w="560" w:type="dxa"/>
            <w:vAlign w:val="bottom"/>
          </w:tcPr>
          <w:p>
            <w:pPr>
              <w:spacing w:after="0"/>
              <w:rPr>
                <w:sz w:val="16"/>
                <w:szCs w:val="16"/>
                <w:color w:val="auto"/>
              </w:rPr>
            </w:pPr>
          </w:p>
        </w:tc>
        <w:tc>
          <w:tcPr>
            <w:tcW w:w="7100" w:type="dxa"/>
            <w:vAlign w:val="bottom"/>
          </w:tcPr>
          <w:p>
            <w:pPr>
              <w:spacing w:after="0"/>
              <w:rPr>
                <w:sz w:val="16"/>
                <w:szCs w:val="16"/>
                <w:color w:val="auto"/>
              </w:rPr>
            </w:pPr>
          </w:p>
        </w:tc>
        <w:tc>
          <w:tcPr>
            <w:tcW w:w="1580" w:type="dxa"/>
            <w:vAlign w:val="bottom"/>
          </w:tcPr>
          <w:p>
            <w:pPr>
              <w:jc w:val="right"/>
              <w:ind w:right="230"/>
              <w:spacing w:after="0" w:line="191" w:lineRule="exact"/>
              <w:rPr>
                <w:sz w:val="20"/>
                <w:szCs w:val="20"/>
                <w:color w:val="auto"/>
              </w:rPr>
            </w:pPr>
            <w:r>
              <w:rPr>
                <w:rFonts w:ascii="Arial" w:cs="Arial" w:eastAsia="Arial" w:hAnsi="Arial"/>
                <w:sz w:val="18"/>
                <w:szCs w:val="18"/>
                <w:b w:val="1"/>
                <w:bCs w:val="1"/>
                <w:color w:val="auto"/>
              </w:rPr>
              <w:t>(Unaudited)</w:t>
            </w:r>
          </w:p>
        </w:tc>
        <w:tc>
          <w:tcPr>
            <w:tcW w:w="320" w:type="dxa"/>
            <w:vAlign w:val="bottom"/>
          </w:tcPr>
          <w:p>
            <w:pPr>
              <w:spacing w:after="0"/>
              <w:rPr>
                <w:sz w:val="16"/>
                <w:szCs w:val="16"/>
                <w:color w:val="auto"/>
              </w:rPr>
            </w:pPr>
          </w:p>
        </w:tc>
        <w:tc>
          <w:tcPr>
            <w:tcW w:w="1580" w:type="dxa"/>
            <w:vAlign w:val="bottom"/>
          </w:tcPr>
          <w:p>
            <w:pPr>
              <w:ind w:left="420"/>
              <w:spacing w:after="0" w:line="191" w:lineRule="exact"/>
              <w:rPr>
                <w:sz w:val="20"/>
                <w:szCs w:val="20"/>
                <w:color w:val="auto"/>
              </w:rPr>
            </w:pPr>
            <w:r>
              <w:rPr>
                <w:rFonts w:ascii="Arial" w:cs="Arial" w:eastAsia="Arial" w:hAnsi="Arial"/>
                <w:sz w:val="18"/>
                <w:szCs w:val="18"/>
                <w:b w:val="1"/>
                <w:bCs w:val="1"/>
                <w:color w:val="auto"/>
              </w:rPr>
              <w:t>(Audited)</w:t>
            </w:r>
          </w:p>
        </w:tc>
        <w:tc>
          <w:tcPr>
            <w:tcW w:w="100" w:type="dxa"/>
            <w:vAlign w:val="bottom"/>
            <w:gridSpan w:val="2"/>
          </w:tcPr>
          <w:p>
            <w:pPr>
              <w:spacing w:after="0"/>
              <w:rPr>
                <w:sz w:val="16"/>
                <w:szCs w:val="16"/>
                <w:color w:val="auto"/>
              </w:rPr>
            </w:pPr>
          </w:p>
        </w:tc>
      </w:tr>
      <w:tr>
        <w:trPr>
          <w:trHeight w:val="234"/>
        </w:trPr>
        <w:tc>
          <w:tcPr>
            <w:tcW w:w="560" w:type="dxa"/>
            <w:vAlign w:val="bottom"/>
          </w:tcPr>
          <w:p>
            <w:pPr>
              <w:spacing w:after="0"/>
              <w:rPr>
                <w:sz w:val="20"/>
                <w:szCs w:val="20"/>
                <w:color w:val="auto"/>
              </w:rPr>
            </w:pPr>
          </w:p>
        </w:tc>
        <w:tc>
          <w:tcPr>
            <w:tcW w:w="7100" w:type="dxa"/>
            <w:vAlign w:val="bottom"/>
          </w:tcPr>
          <w:p>
            <w:pPr>
              <w:spacing w:after="0"/>
              <w:rPr>
                <w:sz w:val="20"/>
                <w:szCs w:val="20"/>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b w:val="1"/>
                <w:bCs w:val="1"/>
                <w:color w:val="auto"/>
              </w:rPr>
              <w:t>$</w:t>
            </w:r>
          </w:p>
        </w:tc>
        <w:tc>
          <w:tcPr>
            <w:tcW w:w="320" w:type="dxa"/>
            <w:vAlign w:val="bottom"/>
          </w:tcPr>
          <w:p>
            <w:pPr>
              <w:spacing w:after="0"/>
              <w:rPr>
                <w:sz w:val="20"/>
                <w:szCs w:val="20"/>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b w:val="1"/>
                <w:bCs w:val="1"/>
                <w:color w:val="auto"/>
              </w:rPr>
              <w: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6"/>
        </w:trPr>
        <w:tc>
          <w:tcPr>
            <w:tcW w:w="76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Financial assets mandatorily measured at fair value through profit or loss</w:t>
            </w:r>
          </w:p>
        </w:tc>
        <w:tc>
          <w:tcPr>
            <w:tcW w:w="15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560" w:type="dxa"/>
            <w:vAlign w:val="bottom"/>
          </w:tcPr>
          <w:p>
            <w:pPr>
              <w:spacing w:after="0"/>
              <w:rPr>
                <w:sz w:val="18"/>
                <w:szCs w:val="18"/>
                <w:color w:val="auto"/>
              </w:rPr>
            </w:pPr>
          </w:p>
        </w:tc>
        <w:tc>
          <w:tcPr>
            <w:tcW w:w="710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680" w:type="dxa"/>
            <w:vAlign w:val="bottom"/>
            <w:gridSpan w:val="3"/>
          </w:tcPr>
          <w:p>
            <w:pPr>
              <w:ind w:left="1480"/>
              <w:spacing w:after="0"/>
              <w:rPr>
                <w:sz w:val="20"/>
                <w:szCs w:val="20"/>
                <w:color w:val="auto"/>
              </w:rPr>
            </w:pPr>
            <w:r>
              <w:rPr>
                <w:rFonts w:ascii="Arial" w:cs="Arial" w:eastAsia="Arial" w:hAnsi="Arial"/>
                <w:sz w:val="18"/>
                <w:szCs w:val="18"/>
                <w:color w:val="auto"/>
              </w:rPr>
              <w:t>–</w:t>
            </w:r>
          </w:p>
        </w:tc>
      </w:tr>
      <w:tr>
        <w:trPr>
          <w:trHeight w:val="230"/>
        </w:trPr>
        <w:tc>
          <w:tcPr>
            <w:tcW w:w="76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Funds</w:t>
            </w:r>
          </w:p>
        </w:tc>
        <w:tc>
          <w:tcPr>
            <w:tcW w:w="19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205,902</w:t>
            </w:r>
          </w:p>
        </w:tc>
        <w:tc>
          <w:tcPr>
            <w:tcW w:w="1680" w:type="dxa"/>
            <w:vAlign w:val="bottom"/>
            <w:gridSpan w:val="3"/>
            <w:shd w:val="clear" w:color="auto" w:fill="EEEEEE"/>
          </w:tcPr>
          <w:p>
            <w:pPr>
              <w:ind w:left="1480"/>
              <w:spacing w:after="0"/>
              <w:rPr>
                <w:sz w:val="20"/>
                <w:szCs w:val="20"/>
                <w:color w:val="auto"/>
              </w:rPr>
            </w:pPr>
            <w:r>
              <w:rPr>
                <w:rFonts w:ascii="Arial" w:cs="Arial" w:eastAsia="Arial" w:hAnsi="Arial"/>
                <w:sz w:val="18"/>
                <w:szCs w:val="18"/>
                <w:color w:val="auto"/>
              </w:rPr>
              <w:t>–</w:t>
            </w:r>
          </w:p>
        </w:tc>
      </w:tr>
      <w:tr>
        <w:trPr>
          <w:trHeight w:val="263"/>
        </w:trPr>
        <w:tc>
          <w:tcPr>
            <w:tcW w:w="766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b w:val="1"/>
                <w:bCs w:val="1"/>
                <w:color w:val="auto"/>
              </w:rPr>
              <w:t>Total</w:t>
            </w: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205,902</w:t>
            </w:r>
          </w:p>
        </w:tc>
        <w:tc>
          <w:tcPr>
            <w:tcW w:w="320" w:type="dxa"/>
            <w:vAlign w:val="bottom"/>
            <w:tcBorders>
              <w:bottom w:val="single" w:sz="8" w:color="EEEEEE"/>
            </w:tcBorders>
          </w:tcPr>
          <w:p>
            <w:pPr>
              <w:spacing w:after="0"/>
              <w:rPr>
                <w:sz w:val="22"/>
                <w:szCs w:val="22"/>
                <w:color w:val="auto"/>
              </w:rPr>
            </w:pPr>
          </w:p>
        </w:tc>
        <w:tc>
          <w:tcPr>
            <w:tcW w:w="1580" w:type="dxa"/>
            <w:vAlign w:val="bottom"/>
            <w:tcBorders>
              <w:top w:val="single" w:sz="8" w:color="auto"/>
              <w:bottom w:val="single" w:sz="8" w:color="auto"/>
            </w:tcBorders>
          </w:tcPr>
          <w:p>
            <w:pPr>
              <w:ind w:left="1480"/>
              <w:spacing w:after="0"/>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EEEEEE"/>
            </w:tcBorders>
            <w:gridSpan w:val="2"/>
          </w:tcPr>
          <w:p>
            <w:pPr>
              <w:spacing w:after="0"/>
              <w:rPr>
                <w:sz w:val="22"/>
                <w:szCs w:val="22"/>
                <w:color w:val="auto"/>
              </w:rPr>
            </w:pPr>
          </w:p>
        </w:tc>
      </w:tr>
      <w:tr>
        <w:trPr>
          <w:trHeight w:val="197"/>
        </w:trPr>
        <w:tc>
          <w:tcPr>
            <w:tcW w:w="560" w:type="dxa"/>
            <w:vAlign w:val="bottom"/>
            <w:shd w:val="clear" w:color="auto" w:fill="EEEEEE"/>
          </w:tcPr>
          <w:p>
            <w:pPr>
              <w:spacing w:after="0"/>
              <w:rPr>
                <w:sz w:val="17"/>
                <w:szCs w:val="17"/>
                <w:color w:val="auto"/>
              </w:rPr>
            </w:pPr>
          </w:p>
        </w:tc>
        <w:tc>
          <w:tcPr>
            <w:tcW w:w="710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r>
      <w:tr>
        <w:trPr>
          <w:trHeight w:val="175"/>
        </w:trPr>
        <w:tc>
          <w:tcPr>
            <w:tcW w:w="7660" w:type="dxa"/>
            <w:vAlign w:val="bottom"/>
            <w:gridSpan w:val="2"/>
          </w:tcPr>
          <w:p>
            <w:pPr>
              <w:spacing w:after="0" w:line="176" w:lineRule="exact"/>
              <w:rPr>
                <w:sz w:val="20"/>
                <w:szCs w:val="20"/>
                <w:color w:val="auto"/>
              </w:rPr>
            </w:pPr>
            <w:r>
              <w:rPr>
                <w:rFonts w:ascii="Arial" w:cs="Arial" w:eastAsia="Arial" w:hAnsi="Arial"/>
                <w:sz w:val="18"/>
                <w:szCs w:val="18"/>
                <w:color w:val="auto"/>
              </w:rPr>
              <w:t>Current</w:t>
            </w:r>
          </w:p>
        </w:tc>
        <w:tc>
          <w:tcPr>
            <w:tcW w:w="1900" w:type="dxa"/>
            <w:vAlign w:val="bottom"/>
            <w:gridSpan w:val="2"/>
          </w:tcPr>
          <w:p>
            <w:pPr>
              <w:jc w:val="right"/>
              <w:ind w:right="320"/>
              <w:spacing w:after="0" w:line="176" w:lineRule="exact"/>
              <w:rPr>
                <w:sz w:val="20"/>
                <w:szCs w:val="20"/>
                <w:color w:val="auto"/>
              </w:rPr>
            </w:pPr>
            <w:r>
              <w:rPr>
                <w:rFonts w:ascii="Arial" w:cs="Arial" w:eastAsia="Arial" w:hAnsi="Arial"/>
                <w:sz w:val="18"/>
                <w:szCs w:val="18"/>
                <w:color w:val="auto"/>
              </w:rPr>
              <w:t>–</w:t>
            </w:r>
          </w:p>
        </w:tc>
        <w:tc>
          <w:tcPr>
            <w:tcW w:w="1680" w:type="dxa"/>
            <w:vAlign w:val="bottom"/>
            <w:gridSpan w:val="3"/>
          </w:tcPr>
          <w:p>
            <w:pPr>
              <w:ind w:left="1480"/>
              <w:spacing w:after="0" w:line="176" w:lineRule="exact"/>
              <w:rPr>
                <w:sz w:val="20"/>
                <w:szCs w:val="20"/>
                <w:color w:val="auto"/>
              </w:rPr>
            </w:pPr>
            <w:r>
              <w:rPr>
                <w:rFonts w:ascii="Arial" w:cs="Arial" w:eastAsia="Arial" w:hAnsi="Arial"/>
                <w:sz w:val="18"/>
                <w:szCs w:val="18"/>
                <w:color w:val="auto"/>
              </w:rPr>
              <w:t>–</w:t>
            </w:r>
          </w:p>
        </w:tc>
      </w:tr>
      <w:tr>
        <w:trPr>
          <w:trHeight w:val="20"/>
        </w:trPr>
        <w:tc>
          <w:tcPr>
            <w:tcW w:w="560" w:type="dxa"/>
            <w:vAlign w:val="bottom"/>
            <w:tcBorders>
              <w:top w:val="single" w:sz="8" w:color="auto"/>
            </w:tcBorders>
          </w:tcPr>
          <w:p>
            <w:pPr>
              <w:spacing w:after="0" w:line="20" w:lineRule="exact"/>
              <w:rPr>
                <w:sz w:val="1"/>
                <w:szCs w:val="1"/>
                <w:color w:val="auto"/>
              </w:rPr>
            </w:pPr>
          </w:p>
        </w:tc>
        <w:tc>
          <w:tcPr>
            <w:tcW w:w="710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r>
        <w:trPr>
          <w:trHeight w:val="230"/>
        </w:trPr>
        <w:tc>
          <w:tcPr>
            <w:tcW w:w="76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Non-Current</w:t>
            </w:r>
          </w:p>
        </w:tc>
        <w:tc>
          <w:tcPr>
            <w:tcW w:w="19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205,902</w:t>
            </w:r>
          </w:p>
        </w:tc>
        <w:tc>
          <w:tcPr>
            <w:tcW w:w="1680" w:type="dxa"/>
            <w:vAlign w:val="bottom"/>
            <w:gridSpan w:val="3"/>
            <w:shd w:val="clear" w:color="auto" w:fill="EEEEEE"/>
          </w:tcPr>
          <w:p>
            <w:pPr>
              <w:ind w:left="1480"/>
              <w:spacing w:after="0"/>
              <w:rPr>
                <w:sz w:val="20"/>
                <w:szCs w:val="20"/>
                <w:color w:val="auto"/>
              </w:rPr>
            </w:pPr>
            <w:r>
              <w:rPr>
                <w:rFonts w:ascii="Arial" w:cs="Arial" w:eastAsia="Arial" w:hAnsi="Arial"/>
                <w:sz w:val="18"/>
                <w:szCs w:val="18"/>
                <w:color w:val="auto"/>
              </w:rPr>
              <w:t>–</w:t>
            </w:r>
          </w:p>
        </w:tc>
      </w:tr>
      <w:tr>
        <w:trPr>
          <w:trHeight w:val="223"/>
        </w:trPr>
        <w:tc>
          <w:tcPr>
            <w:tcW w:w="7660" w:type="dxa"/>
            <w:vAlign w:val="bottom"/>
            <w:gridSpan w:val="2"/>
          </w:tcPr>
          <w:p>
            <w:pPr>
              <w:spacing w:after="0"/>
              <w:rPr>
                <w:sz w:val="20"/>
                <w:szCs w:val="20"/>
                <w:color w:val="auto"/>
              </w:rPr>
            </w:pPr>
            <w:r>
              <w:rPr>
                <w:rFonts w:ascii="Arial" w:cs="Arial" w:eastAsia="Arial" w:hAnsi="Arial"/>
                <w:sz w:val="18"/>
                <w:szCs w:val="18"/>
                <w:b w:val="1"/>
                <w:bCs w:val="1"/>
                <w:color w:val="auto"/>
              </w:rPr>
              <w:t>Total</w:t>
            </w:r>
          </w:p>
        </w:tc>
        <w:tc>
          <w:tcPr>
            <w:tcW w:w="15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205,902</w:t>
            </w:r>
          </w:p>
        </w:tc>
        <w:tc>
          <w:tcPr>
            <w:tcW w:w="320" w:type="dxa"/>
            <w:vAlign w:val="bottom"/>
          </w:tcPr>
          <w:p>
            <w:pPr>
              <w:spacing w:after="0"/>
              <w:rPr>
                <w:sz w:val="19"/>
                <w:szCs w:val="19"/>
                <w:color w:val="auto"/>
              </w:rPr>
            </w:pPr>
          </w:p>
        </w:tc>
        <w:tc>
          <w:tcPr>
            <w:tcW w:w="1580" w:type="dxa"/>
            <w:vAlign w:val="bottom"/>
            <w:tcBorders>
              <w:top w:val="single" w:sz="8" w:color="auto"/>
            </w:tcBorders>
          </w:tcPr>
          <w:p>
            <w:pPr>
              <w:ind w:left="1480"/>
              <w:spacing w:after="0"/>
              <w:rPr>
                <w:sz w:val="20"/>
                <w:szCs w:val="20"/>
                <w:color w:val="auto"/>
              </w:rPr>
            </w:pPr>
            <w:r>
              <w:rPr>
                <w:rFonts w:ascii="Arial" w:cs="Arial" w:eastAsia="Arial" w:hAnsi="Arial"/>
                <w:sz w:val="18"/>
                <w:szCs w:val="18"/>
                <w:color w:val="auto"/>
                <w:w w:val="79"/>
              </w:rPr>
              <w:t>–</w:t>
            </w:r>
          </w:p>
        </w:tc>
        <w:tc>
          <w:tcPr>
            <w:tcW w:w="100" w:type="dxa"/>
            <w:vAlign w:val="bottom"/>
            <w:gridSpan w:val="2"/>
          </w:tcPr>
          <w:p>
            <w:pPr>
              <w:spacing w:after="0"/>
              <w:rPr>
                <w:sz w:val="19"/>
                <w:szCs w:val="19"/>
                <w:color w:val="auto"/>
              </w:rPr>
            </w:pPr>
          </w:p>
        </w:tc>
      </w:tr>
      <w:tr>
        <w:trPr>
          <w:trHeight w:val="20"/>
        </w:trPr>
        <w:tc>
          <w:tcPr>
            <w:tcW w:w="560" w:type="dxa"/>
            <w:vAlign w:val="bottom"/>
          </w:tcPr>
          <w:p>
            <w:pPr>
              <w:spacing w:after="0" w:line="20" w:lineRule="exact"/>
              <w:rPr>
                <w:sz w:val="1"/>
                <w:szCs w:val="1"/>
                <w:color w:val="auto"/>
              </w:rPr>
            </w:pPr>
          </w:p>
        </w:tc>
        <w:tc>
          <w:tcPr>
            <w:tcW w:w="7100" w:type="dxa"/>
            <w:vAlign w:val="bottom"/>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gain of $5,902 was recognized under changes in fair value of financial assets at fair value through profit or loss in the consolidated statement of profit or loss for the period ended September 30, 2023.</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As of September 30, 2023, no financial assets at fair value through profit or loss were pledged with banks as collaterals.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14" w:name="page15"/>
    <w:bookmarkEnd w:id="14"/>
    <w:p>
      <w:pPr>
        <w:spacing w:after="0"/>
        <w:tabs>
          <w:tab w:leader="none" w:pos="700" w:val="left"/>
        </w:tabs>
        <w:rPr>
          <w:sz w:val="20"/>
          <w:szCs w:val="20"/>
          <w:color w:val="auto"/>
        </w:rPr>
      </w:pPr>
      <w:r>
        <w:rPr>
          <w:rFonts w:ascii="Arial" w:cs="Arial" w:eastAsia="Arial" w:hAnsi="Arial"/>
          <w:sz w:val="18"/>
          <w:szCs w:val="18"/>
          <w:b w:val="1"/>
          <w:bCs w:val="1"/>
          <w:color w:val="auto"/>
        </w:rPr>
        <w:t>Note 8</w:t>
        <w:tab/>
        <w:t>GOODWILL</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September 30, 2023 and December 31, 2022, goodwill consisted of the following:</w:t>
      </w:r>
    </w:p>
    <w:p>
      <w:pPr>
        <w:spacing w:after="0" w:line="24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color w:val="auto"/>
        </w:rPr>
        <w:t>Goodwill - Meixin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Less: Accumulated amortization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Goodwill,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 relations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p>
      <w:pPr>
        <w:spacing w:after="0"/>
        <w:rPr>
          <w:sz w:val="20"/>
          <w:szCs w:val="20"/>
          <w:color w:val="auto"/>
        </w:rPr>
      </w:pPr>
      <w:r>
        <w:rPr>
          <w:rFonts w:ascii="Arial" w:cs="Arial" w:eastAsia="Arial" w:hAnsi="Arial"/>
          <w:sz w:val="18"/>
          <w:szCs w:val="18"/>
          <w:color w:val="auto"/>
        </w:rPr>
        <w:t>Acquisitions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Translation/ Adjustments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Less: Accumulated amortization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Less: Impairment</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Customer relations,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6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9</w:t>
      </w:r>
      <w:r>
        <w:rPr>
          <w:sz w:val="20"/>
          <w:szCs w:val="20"/>
          <w:color w:val="auto"/>
        </w:rPr>
        <w:tab/>
      </w:r>
      <w:r>
        <w:rPr>
          <w:rFonts w:ascii="Arial" w:cs="Arial" w:eastAsia="Arial" w:hAnsi="Arial"/>
          <w:sz w:val="18"/>
          <w:szCs w:val="18"/>
          <w:b w:val="1"/>
          <w:bCs w:val="1"/>
          <w:color w:val="auto"/>
        </w:rPr>
        <w:t>OTHER BORROWINGS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Other loans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ind w:right="1320"/>
        <w:spacing w:after="0" w:line="308" w:lineRule="auto"/>
        <w:rPr>
          <w:sz w:val="20"/>
          <w:szCs w:val="20"/>
          <w:color w:val="auto"/>
        </w:rPr>
      </w:pPr>
      <w:r>
        <w:rPr>
          <w:rFonts w:ascii="Arial" w:cs="Arial" w:eastAsia="Arial" w:hAnsi="Arial"/>
          <w:sz w:val="18"/>
          <w:szCs w:val="18"/>
          <w:color w:val="auto"/>
        </w:rPr>
        <w:t>Secured loan from Chailease Finance Co., Ltd wholly repayable within 1 year Total secured loan wholly repayable within 1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-327660</wp:posOffset>
            </wp:positionV>
            <wp:extent cx="7132320" cy="1460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-36195</wp:posOffset>
            </wp:positionV>
            <wp:extent cx="7132320" cy="1371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124" w:lineRule="exact"/>
        <w:rPr>
          <w:sz w:val="20"/>
          <w:szCs w:val="20"/>
          <w:color w:val="auto"/>
        </w:rPr>
      </w:pPr>
    </w:p>
    <w:p>
      <w:pPr>
        <w:ind w:right="1060"/>
        <w:spacing w:after="0" w:line="293" w:lineRule="auto"/>
        <w:rPr>
          <w:sz w:val="20"/>
          <w:szCs w:val="20"/>
          <w:color w:val="auto"/>
        </w:rPr>
      </w:pPr>
      <w:r>
        <w:rPr>
          <w:rFonts w:ascii="Arial" w:cs="Arial" w:eastAsia="Arial" w:hAnsi="Arial"/>
          <w:sz w:val="18"/>
          <w:szCs w:val="18"/>
          <w:color w:val="auto"/>
        </w:rPr>
        <w:t>Secured loan from Chailease Finance Co., Ltd wholly repayable more than 1 year 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-165735</wp:posOffset>
            </wp:positionV>
            <wp:extent cx="7132320" cy="16319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September 30,</w:t>
            </w:r>
          </w:p>
        </w:tc>
        <w:tc>
          <w:tcPr>
            <w:tcW w:w="1600" w:type="dxa"/>
            <w:vAlign w:val="bottom"/>
            <w:gridSpan w:val="2"/>
          </w:tcPr>
          <w:p>
            <w:pPr>
              <w:ind w:left="2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580" w:type="dxa"/>
            <w:vAlign w:val="bottom"/>
          </w:tcPr>
          <w:p>
            <w:pPr>
              <w:jc w:val="right"/>
              <w:ind w:right="230"/>
              <w:spacing w:after="0" w:line="195" w:lineRule="exact"/>
              <w:rPr>
                <w:sz w:val="20"/>
                <w:szCs w:val="20"/>
                <w:color w:val="auto"/>
              </w:rPr>
            </w:pPr>
            <w:r>
              <w:rPr>
                <w:rFonts w:ascii="Arial" w:cs="Arial" w:eastAsia="Arial" w:hAnsi="Arial"/>
                <w:sz w:val="18"/>
                <w:szCs w:val="18"/>
                <w:b w:val="1"/>
                <w:bCs w:val="1"/>
                <w:color w:val="auto"/>
              </w:rPr>
              <w:t>(Unaudited)</w:t>
            </w:r>
          </w:p>
        </w:tc>
        <w:tc>
          <w:tcPr>
            <w:tcW w:w="320" w:type="dxa"/>
            <w:vAlign w:val="bottom"/>
          </w:tcPr>
          <w:p>
            <w:pPr>
              <w:spacing w:after="0"/>
              <w:rPr>
                <w:sz w:val="16"/>
                <w:szCs w:val="16"/>
                <w:color w:val="auto"/>
              </w:rPr>
            </w:pPr>
          </w:p>
        </w:tc>
        <w:tc>
          <w:tcPr>
            <w:tcW w:w="1580" w:type="dxa"/>
            <w:vAlign w:val="bottom"/>
          </w:tcPr>
          <w:p>
            <w:pPr>
              <w:jc w:val="right"/>
              <w:ind w:right="330"/>
              <w:spacing w:after="0" w:line="195" w:lineRule="exact"/>
              <w:rPr>
                <w:sz w:val="20"/>
                <w:szCs w:val="20"/>
                <w:color w:val="auto"/>
              </w:rPr>
            </w:pPr>
            <w:r>
              <w:rPr>
                <w:rFonts w:ascii="Arial" w:cs="Arial" w:eastAsia="Arial" w:hAnsi="Arial"/>
                <w:sz w:val="18"/>
                <w:szCs w:val="18"/>
                <w:b w:val="1"/>
                <w:bCs w:val="1"/>
                <w:color w:val="auto"/>
              </w:rPr>
              <w:t>(Audited)</w:t>
            </w:r>
          </w:p>
        </w:tc>
        <w:tc>
          <w:tcPr>
            <w:tcW w:w="20" w:type="dxa"/>
            <w:vAlign w:val="bottom"/>
          </w:tcPr>
          <w:p>
            <w:pPr>
              <w:spacing w:after="0"/>
              <w:rPr>
                <w:sz w:val="16"/>
                <w:szCs w:val="16"/>
                <w:color w:val="auto"/>
              </w:rPr>
            </w:pPr>
          </w:p>
        </w:tc>
      </w:tr>
      <w:tr>
        <w:trPr>
          <w:trHeight w:val="216"/>
        </w:trPr>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3,905,735</w:t>
            </w:r>
          </w:p>
        </w:tc>
        <w:tc>
          <w:tcPr>
            <w:tcW w:w="1580" w:type="dxa"/>
            <w:vAlign w:val="bottom"/>
          </w:tcPr>
          <w:p>
            <w:pPr>
              <w:jc w:val="right"/>
              <w:spacing w:after="0"/>
              <w:rPr>
                <w:sz w:val="20"/>
                <w:szCs w:val="20"/>
                <w:color w:val="auto"/>
              </w:rPr>
            </w:pPr>
            <w:r>
              <w:rPr>
                <w:rFonts w:ascii="Arial" w:cs="Arial" w:eastAsia="Arial" w:hAnsi="Arial"/>
                <w:sz w:val="18"/>
                <w:szCs w:val="18"/>
                <w:color w:val="auto"/>
              </w:rPr>
              <w:t>3,905,735</w:t>
            </w:r>
          </w:p>
        </w:tc>
        <w:tc>
          <w:tcPr>
            <w:tcW w:w="20" w:type="dxa"/>
            <w:vAlign w:val="bottom"/>
          </w:tcPr>
          <w:p>
            <w:pPr>
              <w:spacing w:after="0"/>
              <w:rPr>
                <w:sz w:val="19"/>
                <w:szCs w:val="19"/>
                <w:color w:val="auto"/>
              </w:rPr>
            </w:pP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r>
      <w:tr>
        <w:trPr>
          <w:trHeight w:val="223"/>
        </w:trPr>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3,905,735</w:t>
            </w:r>
          </w:p>
        </w:tc>
        <w:tc>
          <w:tcPr>
            <w:tcW w:w="3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3,905,735</w:t>
            </w:r>
          </w:p>
        </w:tc>
        <w:tc>
          <w:tcPr>
            <w:tcW w:w="20" w:type="dxa"/>
            <w:vAlign w:val="bottom"/>
            <w:tcBorders>
              <w:top w:val="single" w:sz="8" w:color="auto"/>
              <w:bottom w:val="single" w:sz="8" w:color="auto"/>
            </w:tcBorders>
          </w:tcPr>
          <w:p>
            <w:pPr>
              <w:spacing w:after="0"/>
              <w:rPr>
                <w:sz w:val="19"/>
                <w:szCs w:val="19"/>
                <w:color w:val="auto"/>
              </w:rPr>
            </w:pP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29"/>
        </w:trPr>
        <w:tc>
          <w:tcPr>
            <w:tcW w:w="1900" w:type="dxa"/>
            <w:vAlign w:val="bottom"/>
            <w:gridSpan w:val="2"/>
          </w:tcPr>
          <w:p>
            <w:pPr>
              <w:jc w:val="right"/>
              <w:ind w:right="560"/>
              <w:spacing w:after="0"/>
              <w:rPr>
                <w:sz w:val="20"/>
                <w:szCs w:val="20"/>
                <w:color w:val="auto"/>
              </w:rPr>
            </w:pPr>
            <w:r>
              <w:rPr>
                <w:rFonts w:ascii="Arial" w:cs="Arial" w:eastAsia="Arial" w:hAnsi="Arial"/>
                <w:sz w:val="18"/>
                <w:szCs w:val="18"/>
                <w:b w:val="1"/>
                <w:bCs w:val="1"/>
                <w:color w:val="auto"/>
              </w:rPr>
              <w:t>September 30,</w:t>
            </w:r>
          </w:p>
        </w:tc>
        <w:tc>
          <w:tcPr>
            <w:tcW w:w="1640" w:type="dxa"/>
            <w:vAlign w:val="bottom"/>
            <w:gridSpan w:val="3"/>
          </w:tcPr>
          <w:p>
            <w:pPr>
              <w:jc w:val="right"/>
              <w:ind w:right="32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r>
      <w:tr>
        <w:trPr>
          <w:trHeight w:val="195"/>
        </w:trPr>
        <w:tc>
          <w:tcPr>
            <w:tcW w:w="1580" w:type="dxa"/>
            <w:vAlign w:val="bottom"/>
          </w:tcPr>
          <w:p>
            <w:pPr>
              <w:jc w:val="right"/>
              <w:ind w:right="230"/>
              <w:spacing w:after="0" w:line="195" w:lineRule="exact"/>
              <w:rPr>
                <w:sz w:val="20"/>
                <w:szCs w:val="20"/>
                <w:color w:val="auto"/>
              </w:rPr>
            </w:pPr>
            <w:r>
              <w:rPr>
                <w:rFonts w:ascii="Arial" w:cs="Arial" w:eastAsia="Arial" w:hAnsi="Arial"/>
                <w:sz w:val="18"/>
                <w:szCs w:val="18"/>
                <w:b w:val="1"/>
                <w:bCs w:val="1"/>
                <w:color w:val="auto"/>
              </w:rPr>
              <w:t>(Unaudited)</w:t>
            </w:r>
          </w:p>
        </w:tc>
        <w:tc>
          <w:tcPr>
            <w:tcW w:w="320" w:type="dxa"/>
            <w:vAlign w:val="bottom"/>
          </w:tcPr>
          <w:p>
            <w:pPr>
              <w:spacing w:after="0"/>
              <w:rPr>
                <w:sz w:val="16"/>
                <w:szCs w:val="16"/>
                <w:color w:val="auto"/>
              </w:rPr>
            </w:pPr>
          </w:p>
        </w:tc>
        <w:tc>
          <w:tcPr>
            <w:tcW w:w="1580" w:type="dxa"/>
            <w:vAlign w:val="bottom"/>
          </w:tcPr>
          <w:p>
            <w:pPr>
              <w:jc w:val="right"/>
              <w:ind w:right="330"/>
              <w:spacing w:after="0" w:line="195" w:lineRule="exact"/>
              <w:rPr>
                <w:sz w:val="20"/>
                <w:szCs w:val="20"/>
                <w:color w:val="auto"/>
              </w:rPr>
            </w:pPr>
            <w:r>
              <w:rPr>
                <w:rFonts w:ascii="Arial" w:cs="Arial" w:eastAsia="Arial" w:hAnsi="Arial"/>
                <w:sz w:val="18"/>
                <w:szCs w:val="18"/>
                <w:b w:val="1"/>
                <w:bCs w:val="1"/>
                <w:color w:val="auto"/>
              </w:rPr>
              <w:t>(Audited)</w:t>
            </w:r>
          </w:p>
        </w:tc>
        <w:tc>
          <w:tcPr>
            <w:tcW w:w="60" w:type="dxa"/>
            <w:vAlign w:val="bottom"/>
            <w:gridSpan w:val="2"/>
          </w:tcPr>
          <w:p>
            <w:pPr>
              <w:spacing w:after="0"/>
              <w:rPr>
                <w:sz w:val="16"/>
                <w:szCs w:val="16"/>
                <w:color w:val="auto"/>
              </w:rPr>
            </w:pPr>
          </w:p>
        </w:tc>
      </w:tr>
      <w:tr>
        <w:trPr>
          <w:trHeight w:val="216"/>
        </w:trPr>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16"/>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135,325</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135,325</w:t>
            </w:r>
          </w:p>
        </w:tc>
        <w:tc>
          <w:tcPr>
            <w:tcW w:w="40" w:type="dxa"/>
            <w:vAlign w:val="bottom"/>
          </w:tcPr>
          <w:p>
            <w:pPr>
              <w:spacing w:after="0"/>
              <w:rPr>
                <w:sz w:val="18"/>
                <w:szCs w:val="18"/>
                <w:color w:val="auto"/>
              </w:rPr>
            </w:pPr>
          </w:p>
        </w:tc>
      </w:tr>
      <w:tr>
        <w:trPr>
          <w:trHeight w:val="216"/>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r>
      <w:tr>
        <w:trPr>
          <w:trHeight w:val="230"/>
        </w:trPr>
        <w:tc>
          <w:tcPr>
            <w:tcW w:w="1900" w:type="dxa"/>
            <w:vAlign w:val="bottom"/>
            <w:gridSpan w:val="2"/>
          </w:tcPr>
          <w:p>
            <w:pPr>
              <w:jc w:val="right"/>
              <w:ind w:right="260"/>
              <w:spacing w:after="0"/>
              <w:rPr>
                <w:sz w:val="20"/>
                <w:szCs w:val="20"/>
                <w:color w:val="auto"/>
              </w:rPr>
            </w:pPr>
            <w:r>
              <w:rPr>
                <w:rFonts w:ascii="Arial" w:cs="Arial" w:eastAsia="Arial" w:hAnsi="Arial"/>
                <w:sz w:val="18"/>
                <w:szCs w:val="18"/>
                <w:color w:val="auto"/>
              </w:rPr>
              <w:t>(17,120)</w:t>
            </w:r>
          </w:p>
        </w:tc>
        <w:tc>
          <w:tcPr>
            <w:tcW w:w="1640" w:type="dxa"/>
            <w:vAlign w:val="bottom"/>
            <w:gridSpan w:val="3"/>
          </w:tcPr>
          <w:p>
            <w:pPr>
              <w:jc w:val="right"/>
              <w:spacing w:after="0"/>
              <w:rPr>
                <w:sz w:val="20"/>
                <w:szCs w:val="20"/>
                <w:color w:val="auto"/>
              </w:rPr>
            </w:pPr>
            <w:r>
              <w:rPr>
                <w:rFonts w:ascii="Arial" w:cs="Arial" w:eastAsia="Arial" w:hAnsi="Arial"/>
                <w:sz w:val="18"/>
                <w:szCs w:val="18"/>
                <w:color w:val="auto"/>
              </w:rPr>
              <w:t>(4,891)</w:t>
            </w: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640" w:type="dxa"/>
            <w:vAlign w:val="bottom"/>
            <w:gridSpan w:val="3"/>
          </w:tcPr>
          <w:p>
            <w:pPr>
              <w:jc w:val="right"/>
              <w:ind w:right="60"/>
              <w:spacing w:after="0"/>
              <w:rPr>
                <w:sz w:val="20"/>
                <w:szCs w:val="20"/>
                <w:color w:val="auto"/>
              </w:rPr>
            </w:pPr>
            <w:r>
              <w:rPr>
                <w:rFonts w:ascii="Arial" w:cs="Arial" w:eastAsia="Arial" w:hAnsi="Arial"/>
                <w:sz w:val="18"/>
                <w:szCs w:val="18"/>
                <w:color w:val="auto"/>
              </w:rPr>
              <w:t>–</w:t>
            </w:r>
          </w:p>
        </w:tc>
      </w:tr>
      <w:tr>
        <w:trPr>
          <w:trHeight w:val="223"/>
        </w:trPr>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118,205</w:t>
            </w:r>
          </w:p>
        </w:tc>
        <w:tc>
          <w:tcPr>
            <w:tcW w:w="320" w:type="dxa"/>
            <w:vAlign w:val="bottom"/>
          </w:tcPr>
          <w:p>
            <w:pPr>
              <w:spacing w:after="0"/>
              <w:rPr>
                <w:sz w:val="19"/>
                <w:szCs w:val="19"/>
                <w:color w:val="auto"/>
              </w:rPr>
            </w:pPr>
          </w:p>
        </w:tc>
        <w:tc>
          <w:tcPr>
            <w:tcW w:w="160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130,434</w:t>
            </w:r>
          </w:p>
        </w:tc>
        <w:tc>
          <w:tcPr>
            <w:tcW w:w="40" w:type="dxa"/>
            <w:vAlign w:val="bottom"/>
          </w:tcPr>
          <w:p>
            <w:pPr>
              <w:spacing w:after="0"/>
              <w:rPr>
                <w:sz w:val="19"/>
                <w:szCs w:val="19"/>
                <w:color w:val="auto"/>
              </w:rPr>
            </w:pP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40" w:type="dxa"/>
            <w:vAlign w:val="bottom"/>
            <w:gridSpan w:val="2"/>
          </w:tcPr>
          <w:p>
            <w:pPr>
              <w:jc w:val="center"/>
              <w:ind w:right="520"/>
              <w:spacing w:after="0"/>
              <w:rPr>
                <w:sz w:val="20"/>
                <w:szCs w:val="20"/>
                <w:color w:val="auto"/>
              </w:rPr>
            </w:pPr>
            <w:r>
              <w:rPr>
                <w:rFonts w:ascii="Arial" w:cs="Arial" w:eastAsia="Arial" w:hAnsi="Arial"/>
                <w:sz w:val="18"/>
                <w:szCs w:val="18"/>
                <w:b w:val="1"/>
                <w:bCs w:val="1"/>
                <w:color w:val="auto"/>
                <w:w w:val="89"/>
              </w:rPr>
              <w:t>September 30,</w:t>
            </w:r>
          </w:p>
        </w:tc>
        <w:tc>
          <w:tcPr>
            <w:tcW w:w="160" w:type="dxa"/>
            <w:vAlign w:val="bottom"/>
          </w:tcPr>
          <w:p>
            <w:pPr>
              <w:spacing w:after="0"/>
              <w:rPr>
                <w:sz w:val="18"/>
                <w:szCs w:val="18"/>
                <w:color w:val="auto"/>
              </w:rPr>
            </w:pPr>
          </w:p>
        </w:tc>
        <w:tc>
          <w:tcPr>
            <w:tcW w:w="14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20" w:type="dxa"/>
            <w:vAlign w:val="bottom"/>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50"/>
              <w:spacing w:after="0"/>
              <w:rPr>
                <w:sz w:val="20"/>
                <w:szCs w:val="20"/>
                <w:color w:val="auto"/>
              </w:rPr>
            </w:pPr>
            <w:r>
              <w:rPr>
                <w:rFonts w:ascii="Arial" w:cs="Arial" w:eastAsia="Arial" w:hAnsi="Arial"/>
                <w:sz w:val="18"/>
                <w:szCs w:val="18"/>
                <w:b w:val="1"/>
                <w:bCs w:val="1"/>
                <w:color w:val="auto"/>
                <w:w w:val="89"/>
              </w:rPr>
              <w:t>2023</w:t>
            </w:r>
          </w:p>
        </w:tc>
        <w:tc>
          <w:tcPr>
            <w:tcW w:w="3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2022</w:t>
            </w:r>
          </w:p>
        </w:tc>
        <w:tc>
          <w:tcPr>
            <w:tcW w:w="20" w:type="dxa"/>
            <w:vAlign w:val="bottom"/>
          </w:tcPr>
          <w:p>
            <w:pPr>
              <w:spacing w:after="0"/>
              <w:rPr>
                <w:sz w:val="20"/>
                <w:szCs w:val="20"/>
                <w:color w:val="auto"/>
              </w:rPr>
            </w:pPr>
          </w:p>
        </w:tc>
      </w:tr>
      <w:tr>
        <w:trPr>
          <w:trHeight w:val="228"/>
        </w:trPr>
        <w:tc>
          <w:tcPr>
            <w:tcW w:w="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20" w:type="dxa"/>
            <w:vAlign w:val="bottom"/>
          </w:tcPr>
          <w:p>
            <w:pPr>
              <w:jc w:val="center"/>
              <w:ind w:right="70"/>
              <w:spacing w:after="0"/>
              <w:rPr>
                <w:sz w:val="20"/>
                <w:szCs w:val="20"/>
                <w:color w:val="auto"/>
              </w:rPr>
            </w:pPr>
            <w:r>
              <w:rPr>
                <w:rFonts w:ascii="Arial" w:cs="Arial" w:eastAsia="Arial" w:hAnsi="Arial"/>
                <w:sz w:val="18"/>
                <w:szCs w:val="18"/>
                <w:b w:val="1"/>
                <w:bCs w:val="1"/>
                <w:color w:val="auto"/>
                <w:w w:val="93"/>
              </w:rPr>
              <w:t>(Unaudited)</w:t>
            </w:r>
          </w:p>
        </w:tc>
        <w:tc>
          <w:tcPr>
            <w:tcW w:w="3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420" w:type="dxa"/>
            <w:vAlign w:val="bottom"/>
          </w:tcPr>
          <w:p>
            <w:pPr>
              <w:jc w:val="center"/>
              <w:ind w:right="70"/>
              <w:spacing w:after="0"/>
              <w:rPr>
                <w:sz w:val="20"/>
                <w:szCs w:val="20"/>
                <w:color w:val="auto"/>
              </w:rPr>
            </w:pPr>
            <w:r>
              <w:rPr>
                <w:rFonts w:ascii="Arial" w:cs="Arial" w:eastAsia="Arial" w:hAnsi="Arial"/>
                <w:sz w:val="18"/>
                <w:szCs w:val="18"/>
                <w:b w:val="1"/>
                <w:bCs w:val="1"/>
                <w:color w:val="auto"/>
                <w:w w:val="93"/>
              </w:rPr>
              <w:t>(Audited)</w:t>
            </w:r>
          </w:p>
        </w:tc>
        <w:tc>
          <w:tcPr>
            <w:tcW w:w="20" w:type="dxa"/>
            <w:vAlign w:val="bottom"/>
          </w:tcPr>
          <w:p>
            <w:pPr>
              <w:spacing w:after="0"/>
              <w:rPr>
                <w:sz w:val="19"/>
                <w:szCs w:val="19"/>
                <w:color w:val="auto"/>
              </w:rPr>
            </w:pPr>
          </w:p>
        </w:tc>
      </w:tr>
      <w:tr>
        <w:trPr>
          <w:trHeight w:val="427"/>
        </w:trPr>
        <w:tc>
          <w:tcPr>
            <w:tcW w:w="160" w:type="dxa"/>
            <w:vAlign w:val="bottom"/>
            <w:gridSpan w:val="2"/>
          </w:tcPr>
          <w:p>
            <w:pPr>
              <w:jc w:val="right"/>
              <w:spacing w:after="0"/>
              <w:rPr>
                <w:sz w:val="20"/>
                <w:szCs w:val="20"/>
                <w:color w:val="auto"/>
              </w:rPr>
            </w:pPr>
            <w:r>
              <w:rPr>
                <w:rFonts w:ascii="Arial" w:cs="Arial" w:eastAsia="Arial" w:hAnsi="Arial"/>
                <w:sz w:val="18"/>
                <w:szCs w:val="18"/>
                <w:color w:val="auto"/>
                <w:w w:val="79"/>
              </w:rPr>
              <w:t>$</w:t>
            </w: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167,131</w:t>
            </w:r>
          </w:p>
        </w:tc>
        <w:tc>
          <w:tcPr>
            <w:tcW w:w="160" w:type="dxa"/>
            <w:vAlign w:val="bottom"/>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214,913</w:t>
            </w:r>
          </w:p>
        </w:tc>
      </w:tr>
      <w:tr>
        <w:trPr>
          <w:trHeight w:val="224"/>
        </w:trPr>
        <w:tc>
          <w:tcPr>
            <w:tcW w:w="20" w:type="dxa"/>
            <w:vAlign w:val="bottom"/>
          </w:tcPr>
          <w:p>
            <w:pPr>
              <w:spacing w:after="0"/>
              <w:rPr>
                <w:sz w:val="19"/>
                <w:szCs w:val="19"/>
                <w:color w:val="auto"/>
              </w:rPr>
            </w:pPr>
          </w:p>
        </w:tc>
        <w:tc>
          <w:tcPr>
            <w:tcW w:w="140" w:type="dxa"/>
            <w:vAlign w:val="bottom"/>
            <w:tcBorders>
              <w:top w:val="single" w:sz="8" w:color="auto"/>
            </w:tcBorders>
          </w:tcPr>
          <w:p>
            <w:pPr>
              <w:spacing w:after="0"/>
              <w:rPr>
                <w:sz w:val="19"/>
                <w:szCs w:val="19"/>
                <w:color w:val="auto"/>
              </w:rPr>
            </w:pPr>
          </w:p>
        </w:tc>
        <w:tc>
          <w:tcPr>
            <w:tcW w:w="14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167,131</w:t>
            </w:r>
          </w:p>
        </w:tc>
        <w:tc>
          <w:tcPr>
            <w:tcW w:w="320" w:type="dxa"/>
            <w:vAlign w:val="bottom"/>
          </w:tcPr>
          <w:p>
            <w:pPr>
              <w:spacing w:after="0"/>
              <w:rPr>
                <w:sz w:val="19"/>
                <w:szCs w:val="19"/>
                <w:color w:val="auto"/>
              </w:rPr>
            </w:pPr>
          </w:p>
        </w:tc>
        <w:tc>
          <w:tcPr>
            <w:tcW w:w="160" w:type="dxa"/>
            <w:vAlign w:val="bottom"/>
            <w:tcBorders>
              <w:top w:val="single" w:sz="8" w:color="auto"/>
            </w:tcBorders>
          </w:tcPr>
          <w:p>
            <w:pPr>
              <w:spacing w:after="0"/>
              <w:rPr>
                <w:sz w:val="19"/>
                <w:szCs w:val="19"/>
                <w:color w:val="auto"/>
              </w:rPr>
            </w:pPr>
          </w:p>
        </w:tc>
        <w:tc>
          <w:tcPr>
            <w:tcW w:w="144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214,913</w:t>
            </w:r>
          </w:p>
        </w:tc>
      </w:tr>
      <w:tr>
        <w:trPr>
          <w:trHeight w:val="431"/>
        </w:trPr>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740" w:type="dxa"/>
            <w:vAlign w:val="bottom"/>
            <w:gridSpan w:val="2"/>
          </w:tcPr>
          <w:p>
            <w:pPr>
              <w:jc w:val="right"/>
              <w:ind w:right="320"/>
              <w:spacing w:after="0"/>
              <w:rPr>
                <w:sz w:val="20"/>
                <w:szCs w:val="20"/>
                <w:color w:val="auto"/>
              </w:rPr>
            </w:pPr>
            <w:r>
              <w:rPr>
                <w:rFonts w:ascii="Arial" w:cs="Arial" w:eastAsia="Arial" w:hAnsi="Arial"/>
                <w:sz w:val="18"/>
                <w:szCs w:val="18"/>
                <w:color w:val="auto"/>
              </w:rPr>
              <w:t>337,451</w:t>
            </w:r>
          </w:p>
        </w:tc>
        <w:tc>
          <w:tcPr>
            <w:tcW w:w="160" w:type="dxa"/>
            <w:vAlign w:val="bottom"/>
          </w:tcPr>
          <w:p>
            <w:pPr>
              <w:spacing w:after="0"/>
              <w:rPr>
                <w:sz w:val="24"/>
                <w:szCs w:val="24"/>
                <w:color w:val="auto"/>
              </w:rPr>
            </w:pPr>
          </w:p>
        </w:tc>
        <w:tc>
          <w:tcPr>
            <w:tcW w:w="1440" w:type="dxa"/>
            <w:vAlign w:val="bottom"/>
            <w:gridSpan w:val="2"/>
          </w:tcPr>
          <w:p>
            <w:pPr>
              <w:jc w:val="right"/>
              <w:ind w:right="20"/>
              <w:spacing w:after="0"/>
              <w:rPr>
                <w:sz w:val="20"/>
                <w:szCs w:val="20"/>
                <w:color w:val="auto"/>
              </w:rPr>
            </w:pPr>
            <w:r>
              <w:rPr>
                <w:rFonts w:ascii="Arial" w:cs="Arial" w:eastAsia="Arial" w:hAnsi="Arial"/>
                <w:sz w:val="18"/>
                <w:szCs w:val="18"/>
                <w:color w:val="auto"/>
              </w:rPr>
              <w:t>436,341</w:t>
            </w:r>
          </w:p>
        </w:tc>
      </w:tr>
      <w:tr>
        <w:trPr>
          <w:trHeight w:val="223"/>
        </w:trPr>
        <w:tc>
          <w:tcPr>
            <w:tcW w:w="20" w:type="dxa"/>
            <w:vAlign w:val="bottom"/>
          </w:tcPr>
          <w:p>
            <w:pPr>
              <w:spacing w:after="0"/>
              <w:rPr>
                <w:sz w:val="19"/>
                <w:szCs w:val="19"/>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4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504,582</w:t>
            </w:r>
          </w:p>
        </w:tc>
        <w:tc>
          <w:tcPr>
            <w:tcW w:w="320" w:type="dxa"/>
            <w:vAlign w:val="bottom"/>
          </w:tcPr>
          <w:p>
            <w:pPr>
              <w:spacing w:after="0"/>
              <w:rPr>
                <w:sz w:val="19"/>
                <w:szCs w:val="19"/>
                <w:color w:val="auto"/>
              </w:rPr>
            </w:pPr>
          </w:p>
        </w:tc>
        <w:tc>
          <w:tcPr>
            <w:tcW w:w="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79"/>
              </w:rPr>
              <w:t>$</w:t>
            </w:r>
          </w:p>
        </w:tc>
        <w:tc>
          <w:tcPr>
            <w:tcW w:w="144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651,254</w:t>
            </w:r>
          </w:p>
        </w:tc>
      </w:tr>
      <w:tr>
        <w:trPr>
          <w:trHeight w:val="20"/>
        </w:trPr>
        <w:tc>
          <w:tcPr>
            <w:tcW w:w="20" w:type="dxa"/>
            <w:vAlign w:val="bottom"/>
          </w:tcPr>
          <w:p>
            <w:pPr>
              <w:spacing w:after="0" w:line="20" w:lineRule="exact"/>
              <w:rPr>
                <w:sz w:val="1"/>
                <w:szCs w:val="1"/>
                <w:color w:val="auto"/>
              </w:rPr>
            </w:pPr>
          </w:p>
        </w:tc>
        <w:tc>
          <w:tcPr>
            <w:tcW w:w="14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940" w:space="720"/>
            <w:col w:w="3540"/>
          </w:cols>
          <w:pgMar w:left="320" w:top="796" w:right="379" w:bottom="1440" w:gutter="0" w:footer="0" w:header="0"/>
        </w:sectPr>
      </w:pPr>
    </w:p>
    <w:p>
      <w:pPr>
        <w:spacing w:after="0" w:line="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December 31, 2022, the outstanding loan from Chailease Finance Co., Ltd of $651,254 (or TWD 20,000,000) with annual interest rate of 6% was secured by pledging the timely deposit in Sunny Bank (Xizhi Branch) of $500,000, and denominated in TWD for a term of 24 months. This facility of credit limit of TWD 20,000,000 was obtained on December 19, 2022 and will be expired on December 16, 2024.</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59"/>
        <w:spacing w:after="0"/>
        <w:rPr>
          <w:sz w:val="20"/>
          <w:szCs w:val="20"/>
          <w:color w:val="auto"/>
        </w:rPr>
      </w:pPr>
      <w:r>
        <w:rPr>
          <w:rFonts w:ascii="Arial" w:cs="Arial" w:eastAsia="Arial" w:hAnsi="Arial"/>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00"/>
          </w:cols>
          <w:pgMar w:left="320" w:top="796" w:right="379" w:bottom="1440" w:gutter="0" w:footer="0" w:header="0"/>
          <w:type w:val="continuous"/>
        </w:sectPr>
      </w:pPr>
    </w:p>
    <w:bookmarkStart w:id="15" w:name="page16"/>
    <w:bookmarkEnd w:id="15"/>
    <w:p>
      <w:pPr>
        <w:spacing w:after="0"/>
        <w:tabs>
          <w:tab w:leader="none" w:pos="840" w:val="left"/>
        </w:tabs>
        <w:rPr>
          <w:sz w:val="20"/>
          <w:szCs w:val="20"/>
          <w:color w:val="auto"/>
        </w:rPr>
      </w:pPr>
      <w:r>
        <w:rPr>
          <w:rFonts w:ascii="Arial" w:cs="Arial" w:eastAsia="Arial" w:hAnsi="Arial"/>
          <w:sz w:val="18"/>
          <w:szCs w:val="18"/>
          <w:b w:val="1"/>
          <w:bCs w:val="1"/>
          <w:color w:val="auto"/>
        </w:rPr>
        <w:t>Note 10</w:t>
      </w:r>
      <w:r>
        <w:rPr>
          <w:sz w:val="20"/>
          <w:szCs w:val="20"/>
          <w:color w:val="auto"/>
        </w:rPr>
        <w:tab/>
      </w:r>
      <w:r>
        <w:rPr>
          <w:rFonts w:ascii="Arial" w:cs="Arial" w:eastAsia="Arial" w:hAnsi="Arial"/>
          <w:sz w:val="17"/>
          <w:szCs w:val="17"/>
          <w:b w:val="1"/>
          <w:bCs w:val="1"/>
          <w:color w:val="auto"/>
        </w:rPr>
        <w:t>WARRANTS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April 1, 2021, the Company entered into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 The subscription was completed on August 10, 2021.</w:t>
      </w:r>
    </w:p>
    <w:p>
      <w:pPr>
        <w:spacing w:after="0" w:line="19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September 27, 2021, the Company entered into another securities purchase agreement with the same investors, pursuant to which the Company issued in a registered direct offering, an aggregate of 48,000 shares of common stock of the Company at a per share purchase price of $2.50. In addition, the investors also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Public Offering</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In connection with a firm commitment underwritten public offering (the “Public Offering”) pursuant to a registration statement on Form S-1, amended (File No. 333-264059), originally filed with the SEC on April 1, 2022, and declared effective by the SEC on August 10, 2022, the Company sold an aggregate of 1,880,000 units (the “Units”). Each Unit consisted of one share of common stock and a warrant to purchase two shares of common stock. Each warrant underlying the Units was exercisable from the date of issuance until the fifth anniversary of the issuance date for $3.85 per share of Common Stock (110% of the public offering price per Unit), subject to adjustment in the event of stock dividends, stock splits, stock combinations, reclassifications, reorganizations or similar events affecting the common stock as described in the warrants. The Public Offering closed on August 15, 2022, and the Company received total gross proceeds of $6.58 million. After deducting the underwriting commissions, discounts, and offering expenses, the Company received net proceeds of approximately $5.3 million.</w:t>
      </w:r>
    </w:p>
    <w:p>
      <w:pPr>
        <w:spacing w:after="0" w:line="19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188"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On November 14, 2022, the exercise price of the warrants was decreased to $1.925. Under the terms of the warrants, the exercise price was to be decreased to the greater of (i) $1.925, which represented 50% of the original exercise price; and (ii) 100% of the last volume weighted average price immediately</w:t>
      </w:r>
    </w:p>
    <w:p>
      <w:pPr>
        <w:jc w:val="both"/>
        <w:spacing w:after="0" w:line="209" w:lineRule="auto"/>
        <w:rPr>
          <w:sz w:val="20"/>
          <w:szCs w:val="20"/>
          <w:color w:val="auto"/>
        </w:rPr>
      </w:pPr>
      <w:r>
        <w:rPr>
          <w:rFonts w:ascii="Arial" w:cs="Arial" w:eastAsia="Arial" w:hAnsi="Arial"/>
          <w:sz w:val="18"/>
          <w:szCs w:val="18"/>
          <w:color w:val="auto"/>
        </w:rPr>
        <w:t>preceding the 90</w:t>
      </w:r>
      <w:r>
        <w:rPr>
          <w:rFonts w:ascii="Arial" w:cs="Arial" w:eastAsia="Arial" w:hAnsi="Arial"/>
          <w:sz w:val="29"/>
          <w:szCs w:val="29"/>
          <w:color w:val="auto"/>
          <w:vertAlign w:val="superscript"/>
        </w:rPr>
        <w:t>th</w:t>
      </w:r>
      <w:r>
        <w:rPr>
          <w:rFonts w:ascii="Arial" w:cs="Arial" w:eastAsia="Arial" w:hAnsi="Arial"/>
          <w:sz w:val="18"/>
          <w:szCs w:val="18"/>
          <w:color w:val="auto"/>
        </w:rPr>
        <w:t xml:space="preserve"> calendar day following the initial issuance date (the “Reset Exercise Price”) if, on the date that is 90 calendar days immediately following the initial issuance date, the Reset Exercise Price is less than the original $3.85 exercise price on that date.</w:t>
      </w:r>
    </w:p>
    <w:p>
      <w:pPr>
        <w:spacing w:after="0" w:line="20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Reset Exercise Price remains subject to adjustment in the event of stock dividends, stock splits, stock combinations, reclassifications, reorganizations or similar events affecting the Common Stock as described in the Warrants.</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6" w:name="page17"/>
    <w:bookmarkEnd w:id="16"/>
    <w:p>
      <w:pPr>
        <w:spacing w:after="0"/>
        <w:rPr>
          <w:sz w:val="20"/>
          <w:szCs w:val="20"/>
          <w:color w:val="auto"/>
        </w:rPr>
      </w:pPr>
      <w:r>
        <w:rPr>
          <w:rFonts w:ascii="Arial" w:cs="Arial" w:eastAsia="Arial" w:hAnsi="Arial"/>
          <w:sz w:val="18"/>
          <w:szCs w:val="18"/>
          <w:i w:val="1"/>
          <w:iCs w:val="1"/>
          <w:u w:val="single" w:color="auto"/>
          <w:color w:val="auto"/>
        </w:rPr>
        <w:t>Reverse Split</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Public Offering, on August 11, 2022, the Company effected a 2:3 reverse stock split for each share of common stock issued and outstanding. As a result of reverse stock split, the shares of common stock issuable upon the conversion of Class C warrant decreased from 80,000 shares to 53,334 shares for $3.75 per share and Class D warrant decreased from 80,000 shares to 53,334 shares for $7.50 per share.</w:t>
      </w:r>
    </w:p>
    <w:p>
      <w:pPr>
        <w:spacing w:after="0" w:line="16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04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7"/>
              </w:rPr>
              <w:t>C Warrant</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9"/>
              </w:rPr>
              <w:t>D Warrant</w:t>
            </w:r>
          </w:p>
        </w:tc>
      </w:tr>
      <w:tr>
        <w:trPr>
          <w:trHeight w:val="216"/>
        </w:trPr>
        <w:tc>
          <w:tcPr>
            <w:tcW w:w="304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9"/>
              </w:rPr>
              <w:t>August 10,</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August 10,</w:t>
            </w:r>
          </w:p>
        </w:tc>
      </w:tr>
      <w:tr>
        <w:trPr>
          <w:trHeight w:val="234"/>
        </w:trPr>
        <w:tc>
          <w:tcPr>
            <w:tcW w:w="3040" w:type="dxa"/>
            <w:vAlign w:val="bottom"/>
          </w:tcPr>
          <w:p>
            <w:pPr>
              <w:spacing w:after="0"/>
              <w:rPr>
                <w:sz w:val="20"/>
                <w:szCs w:val="20"/>
                <w:color w:val="auto"/>
              </w:rPr>
            </w:pPr>
            <w:r>
              <w:rPr>
                <w:rFonts w:ascii="Arial" w:cs="Arial" w:eastAsia="Arial" w:hAnsi="Arial"/>
                <w:sz w:val="18"/>
                <w:szCs w:val="18"/>
                <w:b w:val="1"/>
                <w:bCs w:val="1"/>
                <w:color w:val="auto"/>
              </w:rPr>
              <w:t>Appraisal Date (Inception Date)</w:t>
            </w:r>
          </w:p>
        </w:tc>
        <w:tc>
          <w:tcPr>
            <w:tcW w:w="6200" w:type="dxa"/>
            <w:vAlign w:val="bottom"/>
            <w:gridSpan w:val="3"/>
          </w:tcPr>
          <w:p>
            <w:pPr>
              <w:jc w:val="center"/>
              <w:ind w:left="4550"/>
              <w:spacing w:after="0"/>
              <w:rPr>
                <w:sz w:val="20"/>
                <w:szCs w:val="20"/>
                <w:color w:val="auto"/>
              </w:rPr>
            </w:pPr>
            <w:r>
              <w:rPr>
                <w:rFonts w:ascii="Arial" w:cs="Arial" w:eastAsia="Arial" w:hAnsi="Arial"/>
                <w:sz w:val="18"/>
                <w:szCs w:val="18"/>
                <w:b w:val="1"/>
                <w:bCs w:val="1"/>
                <w:color w:val="auto"/>
                <w:w w:val="89"/>
              </w:rPr>
              <w:t>2021</w:t>
            </w:r>
          </w:p>
        </w:tc>
        <w:tc>
          <w:tcPr>
            <w:tcW w:w="320" w:type="dxa"/>
            <w:vAlign w:val="bottom"/>
          </w:tcPr>
          <w:p>
            <w:pPr>
              <w:spacing w:after="0"/>
              <w:rPr>
                <w:sz w:val="20"/>
                <w:szCs w:val="20"/>
                <w:color w:val="auto"/>
              </w:rPr>
            </w:pP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89"/>
              </w:rPr>
              <w:t>2021</w:t>
            </w:r>
          </w:p>
        </w:tc>
        <w:tc>
          <w:tcPr>
            <w:tcW w:w="100" w:type="dxa"/>
            <w:vAlign w:val="bottom"/>
          </w:tcPr>
          <w:p>
            <w:pPr>
              <w:spacing w:after="0"/>
              <w:rPr>
                <w:sz w:val="20"/>
                <w:szCs w:val="20"/>
                <w:color w:val="auto"/>
              </w:rPr>
            </w:pPr>
          </w:p>
        </w:tc>
      </w:tr>
      <w:tr>
        <w:trPr>
          <w:trHeight w:val="191"/>
        </w:trPr>
        <w:tc>
          <w:tcPr>
            <w:tcW w:w="3040" w:type="dxa"/>
            <w:vAlign w:val="bottom"/>
            <w:tcBorders>
              <w:top w:val="single" w:sz="8" w:color="auto"/>
            </w:tcBorders>
          </w:tcPr>
          <w:p>
            <w:pPr>
              <w:spacing w:after="0"/>
              <w:rPr>
                <w:sz w:val="16"/>
                <w:szCs w:val="16"/>
                <w:color w:val="auto"/>
              </w:rPr>
            </w:pPr>
          </w:p>
        </w:tc>
        <w:tc>
          <w:tcPr>
            <w:tcW w:w="4400" w:type="dxa"/>
            <w:vAlign w:val="bottom"/>
            <w:tcBorders>
              <w:top w:val="single" w:sz="8" w:color="auto"/>
            </w:tcBorders>
          </w:tcPr>
          <w:p>
            <w:pPr>
              <w:ind w:left="220"/>
              <w:spacing w:after="0" w:line="191"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580" w:type="dxa"/>
            <w:vAlign w:val="bottom"/>
            <w:tcBorders>
              <w:top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15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3040" w:type="dxa"/>
            <w:vAlign w:val="bottom"/>
          </w:tcPr>
          <w:p>
            <w:pPr>
              <w:spacing w:after="0"/>
              <w:rPr>
                <w:sz w:val="20"/>
                <w:szCs w:val="20"/>
                <w:color w:val="auto"/>
              </w:rPr>
            </w:pPr>
          </w:p>
        </w:tc>
        <w:tc>
          <w:tcPr>
            <w:tcW w:w="6200" w:type="dxa"/>
            <w:vAlign w:val="bottom"/>
            <w:gridSpan w:val="3"/>
          </w:tcPr>
          <w:p>
            <w:pPr>
              <w:jc w:val="right"/>
              <w:ind w:right="590"/>
              <w:spacing w:after="0"/>
              <w:rPr>
                <w:sz w:val="20"/>
                <w:szCs w:val="20"/>
                <w:color w:val="auto"/>
              </w:rPr>
            </w:pPr>
            <w:r>
              <w:rPr>
                <w:rFonts w:ascii="Arial" w:cs="Arial" w:eastAsia="Arial" w:hAnsi="Arial"/>
                <w:sz w:val="18"/>
                <w:szCs w:val="18"/>
                <w:b w:val="1"/>
                <w:bCs w:val="1"/>
                <w:color w:val="auto"/>
              </w:rPr>
              <w:t>$</w:t>
            </w:r>
          </w:p>
        </w:tc>
        <w:tc>
          <w:tcPr>
            <w:tcW w:w="320" w:type="dxa"/>
            <w:vAlign w:val="bottom"/>
          </w:tcPr>
          <w:p>
            <w:pPr>
              <w:spacing w:after="0"/>
              <w:rPr>
                <w:sz w:val="20"/>
                <w:szCs w:val="20"/>
                <w:color w:val="auto"/>
              </w:rPr>
            </w:pPr>
          </w:p>
        </w:tc>
        <w:tc>
          <w:tcPr>
            <w:tcW w:w="1580" w:type="dxa"/>
            <w:vAlign w:val="bottom"/>
          </w:tcPr>
          <w:p>
            <w:pPr>
              <w:jc w:val="right"/>
              <w:ind w:right="61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Market price per share (USD/share)</w:t>
            </w:r>
          </w:p>
        </w:tc>
        <w:tc>
          <w:tcPr>
            <w:tcW w:w="6520" w:type="dxa"/>
            <w:vAlign w:val="bottom"/>
            <w:gridSpan w:val="4"/>
            <w:shd w:val="clear" w:color="auto" w:fill="EEEEEE"/>
          </w:tcPr>
          <w:p>
            <w:pPr>
              <w:jc w:val="right"/>
              <w:ind w:right="320"/>
              <w:spacing w:after="0"/>
              <w:rPr>
                <w:sz w:val="20"/>
                <w:szCs w:val="20"/>
                <w:color w:val="auto"/>
              </w:rPr>
            </w:pPr>
            <w:r>
              <w:rPr>
                <w:rFonts w:ascii="Arial" w:cs="Arial" w:eastAsia="Arial" w:hAnsi="Arial"/>
                <w:sz w:val="18"/>
                <w:szCs w:val="18"/>
                <w:color w:val="auto"/>
              </w:rPr>
              <w:t>1.47</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0.66</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Exercise price (USD/price)</w:t>
            </w:r>
          </w:p>
        </w:tc>
        <w:tc>
          <w:tcPr>
            <w:tcW w:w="6520" w:type="dxa"/>
            <w:vAlign w:val="bottom"/>
            <w:gridSpan w:val="4"/>
          </w:tcPr>
          <w:p>
            <w:pPr>
              <w:jc w:val="right"/>
              <w:ind w:right="320"/>
              <w:spacing w:after="0"/>
              <w:rPr>
                <w:sz w:val="20"/>
                <w:szCs w:val="20"/>
                <w:color w:val="auto"/>
              </w:rPr>
            </w:pPr>
            <w:r>
              <w:rPr>
                <w:rFonts w:ascii="Arial" w:cs="Arial" w:eastAsia="Arial" w:hAnsi="Arial"/>
                <w:sz w:val="18"/>
                <w:szCs w:val="18"/>
                <w:color w:val="auto"/>
              </w:rPr>
              <w:t>2.50</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5.00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Risk free rate</w:t>
            </w:r>
          </w:p>
        </w:tc>
        <w:tc>
          <w:tcPr>
            <w:tcW w:w="6520" w:type="dxa"/>
            <w:vAlign w:val="bottom"/>
            <w:gridSpan w:val="4"/>
            <w:shd w:val="clear" w:color="auto" w:fill="EEEEEE"/>
          </w:tcPr>
          <w:p>
            <w:pPr>
              <w:jc w:val="right"/>
              <w:ind w:right="320"/>
              <w:spacing w:after="0"/>
              <w:rPr>
                <w:sz w:val="20"/>
                <w:szCs w:val="20"/>
                <w:color w:val="auto"/>
              </w:rPr>
            </w:pPr>
            <w:r>
              <w:rPr>
                <w:rFonts w:ascii="Arial" w:cs="Arial" w:eastAsia="Arial" w:hAnsi="Arial"/>
                <w:sz w:val="18"/>
                <w:szCs w:val="18"/>
                <w:color w:val="auto"/>
              </w:rPr>
              <w:t>0.14%</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0.14%</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Dividend yield</w:t>
            </w:r>
          </w:p>
        </w:tc>
        <w:tc>
          <w:tcPr>
            <w:tcW w:w="6520" w:type="dxa"/>
            <w:vAlign w:val="bottom"/>
            <w:gridSpan w:val="4"/>
          </w:tcPr>
          <w:p>
            <w:pPr>
              <w:jc w:val="right"/>
              <w:ind w:right="320"/>
              <w:spacing w:after="0"/>
              <w:rPr>
                <w:sz w:val="20"/>
                <w:szCs w:val="20"/>
                <w:color w:val="auto"/>
              </w:rPr>
            </w:pPr>
            <w:r>
              <w:rPr>
                <w:rFonts w:ascii="Arial" w:cs="Arial" w:eastAsia="Arial" w:hAnsi="Arial"/>
                <w:sz w:val="18"/>
                <w:szCs w:val="18"/>
                <w:color w:val="auto"/>
              </w:rPr>
              <w:t>0.00%</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0.00%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w w:val="98"/>
              </w:rPr>
              <w:t>Expected term/ Contractual life (years)</w:t>
            </w:r>
          </w:p>
        </w:tc>
        <w:tc>
          <w:tcPr>
            <w:tcW w:w="6520" w:type="dxa"/>
            <w:vAlign w:val="bottom"/>
            <w:gridSpan w:val="4"/>
            <w:shd w:val="clear" w:color="auto" w:fill="EEEEEE"/>
          </w:tcPr>
          <w:p>
            <w:pPr>
              <w:jc w:val="right"/>
              <w:ind w:right="320"/>
              <w:spacing w:after="0"/>
              <w:rPr>
                <w:sz w:val="20"/>
                <w:szCs w:val="20"/>
                <w:color w:val="auto"/>
              </w:rPr>
            </w:pPr>
            <w:r>
              <w:rPr>
                <w:rFonts w:ascii="Arial" w:cs="Arial" w:eastAsia="Arial" w:hAnsi="Arial"/>
                <w:sz w:val="18"/>
                <w:szCs w:val="18"/>
                <w:color w:val="auto"/>
              </w:rPr>
              <w:t>1.39</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1.39</w:t>
            </w:r>
          </w:p>
        </w:tc>
      </w:tr>
      <w:tr>
        <w:trPr>
          <w:trHeight w:val="230"/>
        </w:trPr>
        <w:tc>
          <w:tcPr>
            <w:tcW w:w="3040" w:type="dxa"/>
            <w:vAlign w:val="bottom"/>
          </w:tcPr>
          <w:p>
            <w:pPr>
              <w:spacing w:after="0"/>
              <w:rPr>
                <w:sz w:val="20"/>
                <w:szCs w:val="20"/>
                <w:color w:val="auto"/>
              </w:rPr>
            </w:pPr>
            <w:r>
              <w:rPr>
                <w:rFonts w:ascii="Arial" w:cs="Arial" w:eastAsia="Arial" w:hAnsi="Arial"/>
                <w:sz w:val="18"/>
                <w:szCs w:val="18"/>
                <w:color w:val="auto"/>
              </w:rPr>
              <w:t>Expected volatility</w:t>
            </w:r>
          </w:p>
        </w:tc>
        <w:tc>
          <w:tcPr>
            <w:tcW w:w="6520" w:type="dxa"/>
            <w:vAlign w:val="bottom"/>
            <w:gridSpan w:val="4"/>
          </w:tcPr>
          <w:p>
            <w:pPr>
              <w:jc w:val="right"/>
              <w:ind w:right="320"/>
              <w:spacing w:after="0"/>
              <w:rPr>
                <w:sz w:val="20"/>
                <w:szCs w:val="20"/>
                <w:color w:val="auto"/>
              </w:rPr>
            </w:pPr>
            <w:r>
              <w:rPr>
                <w:rFonts w:ascii="Arial" w:cs="Arial" w:eastAsia="Arial" w:hAnsi="Arial"/>
                <w:sz w:val="18"/>
                <w:szCs w:val="18"/>
                <w:color w:val="auto"/>
              </w:rPr>
              <w:t>56.36%</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56.36%</w:t>
            </w:r>
          </w:p>
        </w:tc>
      </w:tr>
      <w:tr>
        <w:trPr>
          <w:trHeight w:val="399"/>
        </w:trPr>
        <w:tc>
          <w:tcPr>
            <w:tcW w:w="3040" w:type="dxa"/>
            <w:vAlign w:val="bottom"/>
          </w:tcPr>
          <w:p>
            <w:pPr>
              <w:spacing w:after="0"/>
              <w:rPr>
                <w:sz w:val="24"/>
                <w:szCs w:val="24"/>
                <w:color w:val="auto"/>
              </w:rPr>
            </w:pPr>
          </w:p>
        </w:tc>
        <w:tc>
          <w:tcPr>
            <w:tcW w:w="4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900" w:type="dxa"/>
            <w:vAlign w:val="bottom"/>
            <w:gridSpan w:val="2"/>
          </w:tcPr>
          <w:p>
            <w:pPr>
              <w:jc w:val="center"/>
              <w:ind w:right="300"/>
              <w:spacing w:after="0"/>
              <w:rPr>
                <w:sz w:val="20"/>
                <w:szCs w:val="20"/>
                <w:color w:val="auto"/>
              </w:rPr>
            </w:pPr>
            <w:r>
              <w:rPr>
                <w:rFonts w:ascii="Arial" w:cs="Arial" w:eastAsia="Arial" w:hAnsi="Arial"/>
                <w:sz w:val="18"/>
                <w:szCs w:val="18"/>
                <w:b w:val="1"/>
                <w:bCs w:val="1"/>
                <w:color w:val="auto"/>
                <w:w w:val="97"/>
              </w:rPr>
              <w:t>C Warrant</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9"/>
              </w:rPr>
              <w:t>D Warrant</w:t>
            </w:r>
          </w:p>
        </w:tc>
      </w:tr>
      <w:tr>
        <w:trPr>
          <w:trHeight w:val="216"/>
        </w:trPr>
        <w:tc>
          <w:tcPr>
            <w:tcW w:w="3040" w:type="dxa"/>
            <w:vAlign w:val="bottom"/>
          </w:tcPr>
          <w:p>
            <w:pPr>
              <w:spacing w:after="0"/>
              <w:rPr>
                <w:sz w:val="18"/>
                <w:szCs w:val="18"/>
                <w:color w:val="auto"/>
              </w:rPr>
            </w:pPr>
          </w:p>
        </w:tc>
        <w:tc>
          <w:tcPr>
            <w:tcW w:w="4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90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9"/>
              </w:rPr>
              <w:t>September 27,</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September 27,</w:t>
            </w:r>
          </w:p>
        </w:tc>
      </w:tr>
      <w:tr>
        <w:trPr>
          <w:trHeight w:val="234"/>
        </w:trPr>
        <w:tc>
          <w:tcPr>
            <w:tcW w:w="3040" w:type="dxa"/>
            <w:vAlign w:val="bottom"/>
          </w:tcPr>
          <w:p>
            <w:pPr>
              <w:spacing w:after="0"/>
              <w:rPr>
                <w:sz w:val="20"/>
                <w:szCs w:val="20"/>
                <w:color w:val="auto"/>
              </w:rPr>
            </w:pPr>
            <w:r>
              <w:rPr>
                <w:rFonts w:ascii="Arial" w:cs="Arial" w:eastAsia="Arial" w:hAnsi="Arial"/>
                <w:sz w:val="18"/>
                <w:szCs w:val="18"/>
                <w:b w:val="1"/>
                <w:bCs w:val="1"/>
                <w:color w:val="auto"/>
              </w:rPr>
              <w:t>Appraisal Date (Inception Date)</w:t>
            </w:r>
          </w:p>
        </w:tc>
        <w:tc>
          <w:tcPr>
            <w:tcW w:w="6200" w:type="dxa"/>
            <w:vAlign w:val="bottom"/>
            <w:gridSpan w:val="3"/>
          </w:tcPr>
          <w:p>
            <w:pPr>
              <w:jc w:val="center"/>
              <w:ind w:left="4550"/>
              <w:spacing w:after="0"/>
              <w:rPr>
                <w:sz w:val="20"/>
                <w:szCs w:val="20"/>
                <w:color w:val="auto"/>
              </w:rPr>
            </w:pPr>
            <w:r>
              <w:rPr>
                <w:rFonts w:ascii="Arial" w:cs="Arial" w:eastAsia="Arial" w:hAnsi="Arial"/>
                <w:sz w:val="18"/>
                <w:szCs w:val="18"/>
                <w:b w:val="1"/>
                <w:bCs w:val="1"/>
                <w:color w:val="auto"/>
                <w:w w:val="89"/>
              </w:rPr>
              <w:t>2021</w:t>
            </w:r>
          </w:p>
        </w:tc>
        <w:tc>
          <w:tcPr>
            <w:tcW w:w="320" w:type="dxa"/>
            <w:vAlign w:val="bottom"/>
          </w:tcPr>
          <w:p>
            <w:pPr>
              <w:spacing w:after="0"/>
              <w:rPr>
                <w:sz w:val="20"/>
                <w:szCs w:val="20"/>
                <w:color w:val="auto"/>
              </w:rPr>
            </w:pP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89"/>
              </w:rPr>
              <w:t>2021</w:t>
            </w:r>
          </w:p>
        </w:tc>
        <w:tc>
          <w:tcPr>
            <w:tcW w:w="100" w:type="dxa"/>
            <w:vAlign w:val="bottom"/>
          </w:tcPr>
          <w:p>
            <w:pPr>
              <w:spacing w:after="0"/>
              <w:rPr>
                <w:sz w:val="20"/>
                <w:szCs w:val="20"/>
                <w:color w:val="auto"/>
              </w:rPr>
            </w:pPr>
          </w:p>
        </w:tc>
      </w:tr>
      <w:tr>
        <w:trPr>
          <w:trHeight w:val="191"/>
        </w:trPr>
        <w:tc>
          <w:tcPr>
            <w:tcW w:w="3040" w:type="dxa"/>
            <w:vAlign w:val="bottom"/>
            <w:tcBorders>
              <w:top w:val="single" w:sz="8" w:color="auto"/>
            </w:tcBorders>
          </w:tcPr>
          <w:p>
            <w:pPr>
              <w:spacing w:after="0"/>
              <w:rPr>
                <w:sz w:val="16"/>
                <w:szCs w:val="16"/>
                <w:color w:val="auto"/>
              </w:rPr>
            </w:pPr>
          </w:p>
        </w:tc>
        <w:tc>
          <w:tcPr>
            <w:tcW w:w="4400" w:type="dxa"/>
            <w:vAlign w:val="bottom"/>
            <w:tcBorders>
              <w:top w:val="single" w:sz="8" w:color="auto"/>
            </w:tcBorders>
          </w:tcPr>
          <w:p>
            <w:pPr>
              <w:ind w:left="220"/>
              <w:spacing w:after="0" w:line="191"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580" w:type="dxa"/>
            <w:vAlign w:val="bottom"/>
            <w:tcBorders>
              <w:top w:val="single" w:sz="8" w:color="auto"/>
            </w:tcBorders>
          </w:tcPr>
          <w:p>
            <w:pPr>
              <w:spacing w:after="0"/>
              <w:rPr>
                <w:sz w:val="16"/>
                <w:szCs w:val="16"/>
                <w:color w:val="auto"/>
              </w:rPr>
            </w:pPr>
          </w:p>
        </w:tc>
        <w:tc>
          <w:tcPr>
            <w:tcW w:w="320" w:type="dxa"/>
            <w:vAlign w:val="bottom"/>
          </w:tcPr>
          <w:p>
            <w:pPr>
              <w:spacing w:after="0"/>
              <w:rPr>
                <w:sz w:val="16"/>
                <w:szCs w:val="16"/>
                <w:color w:val="auto"/>
              </w:rPr>
            </w:pPr>
          </w:p>
        </w:tc>
        <w:tc>
          <w:tcPr>
            <w:tcW w:w="15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3040" w:type="dxa"/>
            <w:vAlign w:val="bottom"/>
          </w:tcPr>
          <w:p>
            <w:pPr>
              <w:spacing w:after="0"/>
              <w:rPr>
                <w:sz w:val="20"/>
                <w:szCs w:val="20"/>
                <w:color w:val="auto"/>
              </w:rPr>
            </w:pPr>
          </w:p>
        </w:tc>
        <w:tc>
          <w:tcPr>
            <w:tcW w:w="6200" w:type="dxa"/>
            <w:vAlign w:val="bottom"/>
            <w:gridSpan w:val="3"/>
          </w:tcPr>
          <w:p>
            <w:pPr>
              <w:jc w:val="right"/>
              <w:ind w:right="590"/>
              <w:spacing w:after="0"/>
              <w:rPr>
                <w:sz w:val="20"/>
                <w:szCs w:val="20"/>
                <w:color w:val="auto"/>
              </w:rPr>
            </w:pPr>
            <w:r>
              <w:rPr>
                <w:rFonts w:ascii="Arial" w:cs="Arial" w:eastAsia="Arial" w:hAnsi="Arial"/>
                <w:sz w:val="18"/>
                <w:szCs w:val="18"/>
                <w:b w:val="1"/>
                <w:bCs w:val="1"/>
                <w:color w:val="auto"/>
              </w:rPr>
              <w:t>$</w:t>
            </w:r>
          </w:p>
        </w:tc>
        <w:tc>
          <w:tcPr>
            <w:tcW w:w="320" w:type="dxa"/>
            <w:vAlign w:val="bottom"/>
          </w:tcPr>
          <w:p>
            <w:pPr>
              <w:spacing w:after="0"/>
              <w:rPr>
                <w:sz w:val="20"/>
                <w:szCs w:val="20"/>
                <w:color w:val="auto"/>
              </w:rPr>
            </w:pPr>
          </w:p>
        </w:tc>
        <w:tc>
          <w:tcPr>
            <w:tcW w:w="1580" w:type="dxa"/>
            <w:vAlign w:val="bottom"/>
          </w:tcPr>
          <w:p>
            <w:pPr>
              <w:jc w:val="right"/>
              <w:ind w:right="61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Market price per share (USD/share)</w:t>
            </w:r>
          </w:p>
        </w:tc>
        <w:tc>
          <w:tcPr>
            <w:tcW w:w="6520" w:type="dxa"/>
            <w:vAlign w:val="bottom"/>
            <w:gridSpan w:val="4"/>
            <w:shd w:val="clear" w:color="auto" w:fill="EEEEEE"/>
          </w:tcPr>
          <w:p>
            <w:pPr>
              <w:jc w:val="right"/>
              <w:ind w:right="320"/>
              <w:spacing w:after="0"/>
              <w:rPr>
                <w:sz w:val="20"/>
                <w:szCs w:val="20"/>
                <w:color w:val="auto"/>
              </w:rPr>
            </w:pPr>
            <w:r>
              <w:rPr>
                <w:rFonts w:ascii="Arial" w:cs="Arial" w:eastAsia="Arial" w:hAnsi="Arial"/>
                <w:sz w:val="18"/>
                <w:szCs w:val="18"/>
                <w:color w:val="auto"/>
              </w:rPr>
              <w:t>1.71</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0.73</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Exercise price (USD/price)</w:t>
            </w:r>
          </w:p>
        </w:tc>
        <w:tc>
          <w:tcPr>
            <w:tcW w:w="6520" w:type="dxa"/>
            <w:vAlign w:val="bottom"/>
            <w:gridSpan w:val="4"/>
          </w:tcPr>
          <w:p>
            <w:pPr>
              <w:jc w:val="right"/>
              <w:ind w:right="320"/>
              <w:spacing w:after="0"/>
              <w:rPr>
                <w:sz w:val="20"/>
                <w:szCs w:val="20"/>
                <w:color w:val="auto"/>
              </w:rPr>
            </w:pPr>
            <w:r>
              <w:rPr>
                <w:rFonts w:ascii="Arial" w:cs="Arial" w:eastAsia="Arial" w:hAnsi="Arial"/>
                <w:sz w:val="18"/>
                <w:szCs w:val="18"/>
                <w:color w:val="auto"/>
              </w:rPr>
              <w:t>2.50</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5.00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rPr>
              <w:t>Risk free rate</w:t>
            </w:r>
          </w:p>
        </w:tc>
        <w:tc>
          <w:tcPr>
            <w:tcW w:w="6520" w:type="dxa"/>
            <w:vAlign w:val="bottom"/>
            <w:gridSpan w:val="4"/>
            <w:shd w:val="clear" w:color="auto" w:fill="EEEEEE"/>
          </w:tcPr>
          <w:p>
            <w:pPr>
              <w:jc w:val="right"/>
              <w:ind w:right="320"/>
              <w:spacing w:after="0"/>
              <w:rPr>
                <w:sz w:val="20"/>
                <w:szCs w:val="20"/>
                <w:color w:val="auto"/>
              </w:rPr>
            </w:pPr>
            <w:r>
              <w:rPr>
                <w:rFonts w:ascii="Arial" w:cs="Arial" w:eastAsia="Arial" w:hAnsi="Arial"/>
                <w:sz w:val="18"/>
                <w:szCs w:val="18"/>
                <w:color w:val="auto"/>
              </w:rPr>
              <w:t>0.15%</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0.15%</w:t>
            </w:r>
          </w:p>
        </w:tc>
      </w:tr>
      <w:tr>
        <w:trPr>
          <w:trHeight w:val="216"/>
        </w:trPr>
        <w:tc>
          <w:tcPr>
            <w:tcW w:w="3040" w:type="dxa"/>
            <w:vAlign w:val="bottom"/>
          </w:tcPr>
          <w:p>
            <w:pPr>
              <w:spacing w:after="0"/>
              <w:rPr>
                <w:sz w:val="20"/>
                <w:szCs w:val="20"/>
                <w:color w:val="auto"/>
              </w:rPr>
            </w:pPr>
            <w:r>
              <w:rPr>
                <w:rFonts w:ascii="Arial" w:cs="Arial" w:eastAsia="Arial" w:hAnsi="Arial"/>
                <w:sz w:val="18"/>
                <w:szCs w:val="18"/>
                <w:color w:val="auto"/>
              </w:rPr>
              <w:t>Dividend yield</w:t>
            </w:r>
          </w:p>
        </w:tc>
        <w:tc>
          <w:tcPr>
            <w:tcW w:w="6520" w:type="dxa"/>
            <w:vAlign w:val="bottom"/>
            <w:gridSpan w:val="4"/>
          </w:tcPr>
          <w:p>
            <w:pPr>
              <w:jc w:val="right"/>
              <w:ind w:right="320"/>
              <w:spacing w:after="0"/>
              <w:rPr>
                <w:sz w:val="20"/>
                <w:szCs w:val="20"/>
                <w:color w:val="auto"/>
              </w:rPr>
            </w:pPr>
            <w:r>
              <w:rPr>
                <w:rFonts w:ascii="Arial" w:cs="Arial" w:eastAsia="Arial" w:hAnsi="Arial"/>
                <w:sz w:val="18"/>
                <w:szCs w:val="18"/>
                <w:color w:val="auto"/>
              </w:rPr>
              <w:t>0.00%</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0.00%</w:t>
            </w:r>
          </w:p>
        </w:tc>
      </w:tr>
      <w:tr>
        <w:trPr>
          <w:trHeight w:val="216"/>
        </w:trPr>
        <w:tc>
          <w:tcPr>
            <w:tcW w:w="3040" w:type="dxa"/>
            <w:vAlign w:val="bottom"/>
            <w:shd w:val="clear" w:color="auto" w:fill="EEEEEE"/>
          </w:tcPr>
          <w:p>
            <w:pPr>
              <w:spacing w:after="0"/>
              <w:rPr>
                <w:sz w:val="20"/>
                <w:szCs w:val="20"/>
                <w:color w:val="auto"/>
              </w:rPr>
            </w:pPr>
            <w:r>
              <w:rPr>
                <w:rFonts w:ascii="Arial" w:cs="Arial" w:eastAsia="Arial" w:hAnsi="Arial"/>
                <w:sz w:val="18"/>
                <w:szCs w:val="18"/>
                <w:color w:val="auto"/>
                <w:w w:val="98"/>
              </w:rPr>
              <w:t>Expected term/ Contractual life (years)</w:t>
            </w:r>
          </w:p>
        </w:tc>
        <w:tc>
          <w:tcPr>
            <w:tcW w:w="6520" w:type="dxa"/>
            <w:vAlign w:val="bottom"/>
            <w:gridSpan w:val="4"/>
            <w:shd w:val="clear" w:color="auto" w:fill="EEEEEE"/>
          </w:tcPr>
          <w:p>
            <w:pPr>
              <w:jc w:val="right"/>
              <w:ind w:right="320"/>
              <w:spacing w:after="0"/>
              <w:rPr>
                <w:sz w:val="20"/>
                <w:szCs w:val="20"/>
                <w:color w:val="auto"/>
              </w:rPr>
            </w:pPr>
            <w:r>
              <w:rPr>
                <w:rFonts w:ascii="Arial" w:cs="Arial" w:eastAsia="Arial" w:hAnsi="Arial"/>
                <w:sz w:val="18"/>
                <w:szCs w:val="18"/>
                <w:color w:val="auto"/>
              </w:rPr>
              <w:t>1.26</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1.26</w:t>
            </w:r>
          </w:p>
        </w:tc>
      </w:tr>
      <w:tr>
        <w:trPr>
          <w:trHeight w:val="230"/>
        </w:trPr>
        <w:tc>
          <w:tcPr>
            <w:tcW w:w="3040" w:type="dxa"/>
            <w:vAlign w:val="bottom"/>
          </w:tcPr>
          <w:p>
            <w:pPr>
              <w:spacing w:after="0"/>
              <w:rPr>
                <w:sz w:val="20"/>
                <w:szCs w:val="20"/>
                <w:color w:val="auto"/>
              </w:rPr>
            </w:pPr>
            <w:r>
              <w:rPr>
                <w:rFonts w:ascii="Arial" w:cs="Arial" w:eastAsia="Arial" w:hAnsi="Arial"/>
                <w:sz w:val="18"/>
                <w:szCs w:val="18"/>
                <w:color w:val="auto"/>
              </w:rPr>
              <w:t>Expected volatility</w:t>
            </w:r>
          </w:p>
        </w:tc>
        <w:tc>
          <w:tcPr>
            <w:tcW w:w="6520" w:type="dxa"/>
            <w:vAlign w:val="bottom"/>
            <w:gridSpan w:val="4"/>
          </w:tcPr>
          <w:p>
            <w:pPr>
              <w:jc w:val="right"/>
              <w:ind w:right="320"/>
              <w:spacing w:after="0"/>
              <w:rPr>
                <w:sz w:val="20"/>
                <w:szCs w:val="20"/>
                <w:color w:val="auto"/>
              </w:rPr>
            </w:pPr>
            <w:r>
              <w:rPr>
                <w:rFonts w:ascii="Arial" w:cs="Arial" w:eastAsia="Arial" w:hAnsi="Arial"/>
                <w:sz w:val="18"/>
                <w:szCs w:val="18"/>
                <w:color w:val="auto"/>
              </w:rPr>
              <w:t>52.93%</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52.93%</w:t>
            </w:r>
          </w:p>
        </w:tc>
      </w:tr>
    </w:tbl>
    <w:p>
      <w:pPr>
        <w:spacing w:after="0" w:line="187" w:lineRule="exact"/>
        <w:rPr>
          <w:sz w:val="20"/>
          <w:szCs w:val="20"/>
          <w:color w:val="auto"/>
        </w:rPr>
      </w:pPr>
    </w:p>
    <w:p>
      <w:pPr>
        <w:spacing w:after="0"/>
        <w:rPr>
          <w:sz w:val="20"/>
          <w:szCs w:val="20"/>
          <w:color w:val="auto"/>
        </w:rPr>
      </w:pPr>
      <w:r>
        <w:rPr>
          <w:rFonts w:ascii="Arial" w:cs="Arial" w:eastAsia="Arial" w:hAnsi="Arial"/>
          <w:sz w:val="16"/>
          <w:szCs w:val="16"/>
          <w:color w:val="auto"/>
        </w:rPr>
        <w:t>The following is a reconciliation of the beginning and ending balances of warrants liability measured at fair value on a recurring basis using Level 3 inputs:</w:t>
      </w:r>
    </w:p>
    <w:p>
      <w:pPr>
        <w:sectPr>
          <w:pgSz w:w="11900" w:h="16838" w:orient="portrait"/>
          <w:cols w:equalWidth="0" w:num="1">
            <w:col w:w="11240"/>
          </w:cols>
          <w:pgMar w:left="320" w:top="80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Balance at the beginning of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Warrants issued to investors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Warrants redeemed</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Fair value change of warrants included in earnings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25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September 30,</w:t>
            </w:r>
          </w:p>
        </w:tc>
        <w:tc>
          <w:tcPr>
            <w:tcW w:w="1580" w:type="dxa"/>
            <w:vAlign w:val="bottom"/>
          </w:tcPr>
          <w:p>
            <w:pPr>
              <w:jc w:val="right"/>
              <w:ind w:right="1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r>
      <w:tr>
        <w:trPr>
          <w:trHeight w:val="195"/>
        </w:trPr>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320" w:type="dxa"/>
            <w:vAlign w:val="bottom"/>
          </w:tcPr>
          <w:p>
            <w:pPr>
              <w:spacing w:after="0"/>
              <w:rPr>
                <w:sz w:val="16"/>
                <w:szCs w:val="16"/>
                <w:color w:val="auto"/>
              </w:rPr>
            </w:pPr>
          </w:p>
        </w:tc>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312,320</w:t>
            </w: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287,520</w:t>
            </w: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24,800</w:t>
            </w:r>
          </w:p>
        </w:tc>
      </w:tr>
      <w:tr>
        <w:trPr>
          <w:trHeight w:val="223"/>
        </w:trPr>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312,320</w:t>
            </w:r>
          </w:p>
        </w:tc>
        <w:tc>
          <w:tcPr>
            <w:tcW w:w="3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312,320</w:t>
            </w: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940" w:space="720"/>
            <w:col w:w="3580"/>
          </w:cols>
          <w:pgMar w:left="320" w:top="800"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type w:val="continuous"/>
        </w:sectPr>
      </w:pPr>
    </w:p>
    <w:bookmarkStart w:id="17" w:name="page18"/>
    <w:bookmarkEnd w:id="17"/>
    <w:tbl>
      <w:tblPr>
        <w:tblLayout w:type="fixed"/>
        <w:tblInd w:w="0" w:type="dxa"/>
        <w:tblCellMar>
          <w:top w:w="0" w:type="dxa"/>
          <w:left w:w="0" w:type="dxa"/>
          <w:bottom w:w="0" w:type="dxa"/>
          <w:right w:w="0" w:type="dxa"/>
        </w:tblCellMar>
      </w:tblPr>
      <w:tr>
        <w:trPr>
          <w:trHeight w:val="230"/>
        </w:trPr>
        <w:tc>
          <w:tcPr>
            <w:tcW w:w="6420" w:type="dxa"/>
            <w:vAlign w:val="bottom"/>
          </w:tcPr>
          <w:p>
            <w:pPr>
              <w:spacing w:after="0"/>
              <w:rPr>
                <w:sz w:val="20"/>
                <w:szCs w:val="20"/>
                <w:color w:val="auto"/>
              </w:rPr>
            </w:pPr>
            <w:r>
              <w:rPr>
                <w:rFonts w:ascii="Arial" w:cs="Arial" w:eastAsia="Arial" w:hAnsi="Arial"/>
                <w:sz w:val="18"/>
                <w:szCs w:val="18"/>
                <w:color w:val="auto"/>
              </w:rPr>
              <w:t>The following is a summary of the warrant activity:</w:t>
            </w:r>
          </w:p>
        </w:tc>
        <w:tc>
          <w:tcPr>
            <w:tcW w:w="13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6420" w:type="dxa"/>
            <w:vAlign w:val="bottom"/>
          </w:tcPr>
          <w:p>
            <w:pPr>
              <w:spacing w:after="0"/>
              <w:rPr>
                <w:sz w:val="24"/>
                <w:szCs w:val="24"/>
                <w:color w:val="auto"/>
              </w:rPr>
            </w:pPr>
          </w:p>
        </w:tc>
        <w:tc>
          <w:tcPr>
            <w:tcW w:w="1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Weighted</w:t>
            </w:r>
          </w:p>
        </w:tc>
      </w:tr>
      <w:tr>
        <w:trPr>
          <w:trHeight w:val="216"/>
        </w:trPr>
        <w:tc>
          <w:tcPr>
            <w:tcW w:w="6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4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7"/>
              </w:rPr>
              <w:t>Average</w:t>
            </w:r>
          </w:p>
        </w:tc>
      </w:tr>
      <w:tr>
        <w:trPr>
          <w:trHeight w:val="216"/>
        </w:trPr>
        <w:tc>
          <w:tcPr>
            <w:tcW w:w="6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Remaining</w:t>
            </w:r>
          </w:p>
        </w:tc>
      </w:tr>
      <w:tr>
        <w:trPr>
          <w:trHeight w:val="216"/>
        </w:trPr>
        <w:tc>
          <w:tcPr>
            <w:tcW w:w="64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4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Contractual</w:t>
            </w:r>
          </w:p>
        </w:tc>
      </w:tr>
      <w:tr>
        <w:trPr>
          <w:trHeight w:val="216"/>
        </w:trPr>
        <w:tc>
          <w:tcPr>
            <w:tcW w:w="6420" w:type="dxa"/>
            <w:vAlign w:val="bottom"/>
          </w:tcPr>
          <w:p>
            <w:pPr>
              <w:spacing w:after="0"/>
              <w:rPr>
                <w:sz w:val="18"/>
                <w:szCs w:val="18"/>
                <w:color w:val="auto"/>
              </w:rPr>
            </w:pPr>
          </w:p>
        </w:tc>
        <w:tc>
          <w:tcPr>
            <w:tcW w:w="1720" w:type="dxa"/>
            <w:vAlign w:val="bottom"/>
            <w:gridSpan w:val="2"/>
          </w:tcPr>
          <w:p>
            <w:pPr>
              <w:jc w:val="right"/>
              <w:ind w:right="620"/>
              <w:spacing w:after="0"/>
              <w:rPr>
                <w:sz w:val="20"/>
                <w:szCs w:val="20"/>
                <w:color w:val="auto"/>
              </w:rPr>
            </w:pPr>
            <w:r>
              <w:rPr>
                <w:rFonts w:ascii="Arial" w:cs="Arial" w:eastAsia="Arial" w:hAnsi="Arial"/>
                <w:sz w:val="18"/>
                <w:szCs w:val="18"/>
                <w:b w:val="1"/>
                <w:bCs w:val="1"/>
                <w:color w:val="auto"/>
              </w:rPr>
              <w:t>Number of</w:t>
            </w:r>
          </w:p>
        </w:tc>
        <w:tc>
          <w:tcPr>
            <w:tcW w:w="1660" w:type="dxa"/>
            <w:vAlign w:val="bottom"/>
            <w:gridSpan w:val="2"/>
          </w:tcPr>
          <w:p>
            <w:pPr>
              <w:jc w:val="center"/>
              <w:ind w:right="320"/>
              <w:spacing w:after="0"/>
              <w:rPr>
                <w:sz w:val="20"/>
                <w:szCs w:val="20"/>
                <w:color w:val="auto"/>
              </w:rPr>
            </w:pPr>
            <w:r>
              <w:rPr>
                <w:rFonts w:ascii="Arial" w:cs="Arial" w:eastAsia="Arial" w:hAnsi="Arial"/>
                <w:sz w:val="18"/>
                <w:szCs w:val="18"/>
                <w:b w:val="1"/>
                <w:bCs w:val="1"/>
                <w:color w:val="auto"/>
                <w:w w:val="87"/>
              </w:rPr>
              <w:t>Average</w:t>
            </w:r>
          </w:p>
        </w:tc>
        <w:tc>
          <w:tcPr>
            <w:tcW w:w="14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Term in</w:t>
            </w:r>
          </w:p>
        </w:tc>
      </w:tr>
      <w:tr>
        <w:trPr>
          <w:trHeight w:val="234"/>
        </w:trPr>
        <w:tc>
          <w:tcPr>
            <w:tcW w:w="6420" w:type="dxa"/>
            <w:vAlign w:val="bottom"/>
          </w:tcPr>
          <w:p>
            <w:pPr>
              <w:spacing w:after="0"/>
              <w:rPr>
                <w:sz w:val="20"/>
                <w:szCs w:val="20"/>
                <w:color w:val="auto"/>
              </w:rPr>
            </w:pPr>
          </w:p>
        </w:tc>
        <w:tc>
          <w:tcPr>
            <w:tcW w:w="1720" w:type="dxa"/>
            <w:vAlign w:val="bottom"/>
            <w:gridSpan w:val="2"/>
          </w:tcPr>
          <w:p>
            <w:pPr>
              <w:jc w:val="right"/>
              <w:ind w:right="660"/>
              <w:spacing w:after="0"/>
              <w:rPr>
                <w:sz w:val="20"/>
                <w:szCs w:val="20"/>
                <w:color w:val="auto"/>
              </w:rPr>
            </w:pPr>
            <w:r>
              <w:rPr>
                <w:rFonts w:ascii="Arial" w:cs="Arial" w:eastAsia="Arial" w:hAnsi="Arial"/>
                <w:sz w:val="18"/>
                <w:szCs w:val="18"/>
                <w:b w:val="1"/>
                <w:bCs w:val="1"/>
                <w:color w:val="auto"/>
              </w:rPr>
              <w:t>Warrants</w:t>
            </w:r>
          </w:p>
        </w:tc>
        <w:tc>
          <w:tcPr>
            <w:tcW w:w="1660" w:type="dxa"/>
            <w:vAlign w:val="bottom"/>
            <w:gridSpan w:val="2"/>
          </w:tcPr>
          <w:p>
            <w:pPr>
              <w:jc w:val="center"/>
              <w:ind w:right="340"/>
              <w:spacing w:after="0"/>
              <w:rPr>
                <w:sz w:val="20"/>
                <w:szCs w:val="20"/>
                <w:color w:val="auto"/>
              </w:rPr>
            </w:pPr>
            <w:r>
              <w:rPr>
                <w:rFonts w:ascii="Arial" w:cs="Arial" w:eastAsia="Arial" w:hAnsi="Arial"/>
                <w:sz w:val="18"/>
                <w:szCs w:val="18"/>
                <w:b w:val="1"/>
                <w:bCs w:val="1"/>
                <w:color w:val="auto"/>
                <w:w w:val="87"/>
              </w:rPr>
              <w:t>Exercise Price</w:t>
            </w:r>
          </w:p>
        </w:tc>
        <w:tc>
          <w:tcPr>
            <w:tcW w:w="144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Years</w:t>
            </w:r>
          </w:p>
        </w:tc>
      </w:tr>
      <w:tr>
        <w:trPr>
          <w:trHeight w:val="209"/>
        </w:trPr>
        <w:tc>
          <w:tcPr>
            <w:tcW w:w="6420" w:type="dxa"/>
            <w:vAlign w:val="bottom"/>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Outstanding at January 1, 2022</w:t>
            </w:r>
          </w:p>
        </w:tc>
        <w:tc>
          <w:tcPr>
            <w:tcW w:w="172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2,418,000</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2.12</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4.73</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Exercisable at January 1, 2022</w:t>
            </w:r>
          </w:p>
        </w:tc>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2,418,000</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2.12</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4.73</w:t>
            </w:r>
          </w:p>
        </w:tc>
      </w:tr>
      <w:tr>
        <w:trPr>
          <w:trHeight w:val="216"/>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Granted</w:t>
            </w:r>
          </w:p>
        </w:tc>
        <w:tc>
          <w:tcPr>
            <w:tcW w:w="172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Exercised / surrendered</w:t>
            </w:r>
          </w:p>
        </w:tc>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Expired</w:t>
            </w:r>
          </w:p>
        </w:tc>
        <w:tc>
          <w:tcPr>
            <w:tcW w:w="172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Outstanding at September 30, 2023</w:t>
            </w:r>
          </w:p>
        </w:tc>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2,418,000</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2.12</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4.73</w:t>
            </w:r>
          </w:p>
        </w:tc>
      </w:tr>
      <w:tr>
        <w:trPr>
          <w:trHeight w:val="216"/>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Exercisable at September 30, 2023</w:t>
            </w:r>
          </w:p>
        </w:tc>
        <w:tc>
          <w:tcPr>
            <w:tcW w:w="172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2,418,000</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2.12</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4.73</w:t>
            </w:r>
          </w:p>
        </w:tc>
      </w:tr>
      <w:tr>
        <w:trPr>
          <w:trHeight w:val="432"/>
        </w:trPr>
        <w:tc>
          <w:tcPr>
            <w:tcW w:w="6420" w:type="dxa"/>
            <w:vAlign w:val="bottom"/>
          </w:tcPr>
          <w:p>
            <w:pPr>
              <w:spacing w:after="0"/>
              <w:rPr>
                <w:sz w:val="20"/>
                <w:szCs w:val="20"/>
                <w:color w:val="auto"/>
              </w:rPr>
            </w:pPr>
            <w:r>
              <w:rPr>
                <w:rFonts w:ascii="Arial" w:cs="Arial" w:eastAsia="Arial" w:hAnsi="Arial"/>
                <w:sz w:val="18"/>
                <w:szCs w:val="18"/>
                <w:b w:val="1"/>
                <w:bCs w:val="1"/>
                <w:color w:val="auto"/>
              </w:rPr>
              <w:t>Note 11   LEASES</w:t>
            </w:r>
          </w:p>
        </w:tc>
        <w:tc>
          <w:tcPr>
            <w:tcW w:w="13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has two non-cancelable lease agreements for certain of the office and accommodation as well as fish farming containers for research and develop advanced technology for water circulation applying in fishery with original lease periods expiring between 2022 and 2023. The lease terms may include options to extend or terminate the lease when it is reasonably certain the Company will exercise that option. The Company recognizes rental expense on a straight-line basis over the lease term.</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lease expense for the nine months ended September 30, 2023 and September 30, 2022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840" w:type="dxa"/>
            <w:vAlign w:val="bottom"/>
          </w:tcPr>
          <w:p>
            <w:pPr>
              <w:spacing w:after="0"/>
              <w:rPr>
                <w:sz w:val="18"/>
                <w:szCs w:val="18"/>
                <w:color w:val="auto"/>
              </w:rPr>
            </w:pPr>
          </w:p>
        </w:tc>
        <w:tc>
          <w:tcPr>
            <w:tcW w:w="36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90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w w:val="92"/>
              </w:rPr>
              <w:t>Nine months ended</w:t>
            </w:r>
          </w:p>
        </w:tc>
        <w:tc>
          <w:tcPr>
            <w:tcW w:w="1780" w:type="dxa"/>
            <w:vAlign w:val="bottom"/>
            <w:gridSpan w:val="2"/>
          </w:tcPr>
          <w:p>
            <w:pPr>
              <w:ind w:left="80"/>
              <w:spacing w:after="0"/>
              <w:rPr>
                <w:sz w:val="20"/>
                <w:szCs w:val="20"/>
                <w:color w:val="auto"/>
              </w:rPr>
            </w:pPr>
            <w:r>
              <w:rPr>
                <w:rFonts w:ascii="Arial" w:cs="Arial" w:eastAsia="Arial" w:hAnsi="Arial"/>
                <w:sz w:val="18"/>
                <w:szCs w:val="18"/>
                <w:b w:val="1"/>
                <w:bCs w:val="1"/>
                <w:color w:val="auto"/>
              </w:rPr>
              <w:t>Nine months ended</w:t>
            </w:r>
          </w:p>
        </w:tc>
      </w:tr>
      <w:tr>
        <w:trPr>
          <w:trHeight w:val="234"/>
        </w:trPr>
        <w:tc>
          <w:tcPr>
            <w:tcW w:w="3840" w:type="dxa"/>
            <w:vAlign w:val="bottom"/>
          </w:tcPr>
          <w:p>
            <w:pPr>
              <w:spacing w:after="0"/>
              <w:rPr>
                <w:sz w:val="20"/>
                <w:szCs w:val="20"/>
                <w:color w:val="auto"/>
              </w:rPr>
            </w:pPr>
          </w:p>
        </w:tc>
        <w:tc>
          <w:tcPr>
            <w:tcW w:w="372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Statement of Income Location</w:t>
            </w:r>
          </w:p>
        </w:tc>
        <w:tc>
          <w:tcPr>
            <w:tcW w:w="1900" w:type="dxa"/>
            <w:vAlign w:val="bottom"/>
            <w:gridSpan w:val="2"/>
          </w:tcPr>
          <w:p>
            <w:pPr>
              <w:jc w:val="right"/>
              <w:ind w:right="300"/>
              <w:spacing w:after="0"/>
              <w:rPr>
                <w:sz w:val="20"/>
                <w:szCs w:val="20"/>
                <w:color w:val="auto"/>
              </w:rPr>
            </w:pPr>
            <w:r>
              <w:rPr>
                <w:rFonts w:ascii="Arial" w:cs="Arial" w:eastAsia="Arial" w:hAnsi="Arial"/>
                <w:sz w:val="18"/>
                <w:szCs w:val="18"/>
                <w:b w:val="1"/>
                <w:bCs w:val="1"/>
                <w:color w:val="auto"/>
                <w:w w:val="93"/>
              </w:rPr>
              <w:t>September 30, 2023</w:t>
            </w:r>
          </w:p>
        </w:tc>
        <w:tc>
          <w:tcPr>
            <w:tcW w:w="1780" w:type="dxa"/>
            <w:vAlign w:val="bottom"/>
            <w:gridSpan w:val="2"/>
          </w:tcPr>
          <w:p>
            <w:pPr>
              <w:ind w:left="80"/>
              <w:spacing w:after="0"/>
              <w:rPr>
                <w:sz w:val="20"/>
                <w:szCs w:val="20"/>
                <w:color w:val="auto"/>
              </w:rPr>
            </w:pPr>
            <w:r>
              <w:rPr>
                <w:rFonts w:ascii="Arial" w:cs="Arial" w:eastAsia="Arial" w:hAnsi="Arial"/>
                <w:sz w:val="18"/>
                <w:szCs w:val="18"/>
                <w:b w:val="1"/>
                <w:bCs w:val="1"/>
                <w:color w:val="auto"/>
                <w:w w:val="99"/>
              </w:rPr>
              <w:t>September 30, 2022</w:t>
            </w:r>
          </w:p>
        </w:tc>
      </w:tr>
      <w:tr>
        <w:trPr>
          <w:trHeight w:val="191"/>
        </w:trPr>
        <w:tc>
          <w:tcPr>
            <w:tcW w:w="3840" w:type="dxa"/>
            <w:vAlign w:val="bottom"/>
          </w:tcPr>
          <w:p>
            <w:pPr>
              <w:spacing w:after="0"/>
              <w:rPr>
                <w:sz w:val="16"/>
                <w:szCs w:val="16"/>
                <w:color w:val="auto"/>
              </w:rPr>
            </w:pPr>
          </w:p>
        </w:tc>
        <w:tc>
          <w:tcPr>
            <w:tcW w:w="3600" w:type="dxa"/>
            <w:vAlign w:val="bottom"/>
            <w:tcBorders>
              <w:top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680" w:type="dxa"/>
            <w:vAlign w:val="bottom"/>
            <w:tcBorders>
              <w:top w:val="single" w:sz="8" w:color="auto"/>
            </w:tcBorders>
          </w:tcPr>
          <w:p>
            <w:pPr>
              <w:jc w:val="right"/>
              <w:ind w:right="230"/>
              <w:spacing w:after="0" w:line="191"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680" w:type="dxa"/>
            <w:vAlign w:val="bottom"/>
            <w:tcBorders>
              <w:top w:val="single" w:sz="8" w:color="auto"/>
            </w:tcBorders>
          </w:tcPr>
          <w:p>
            <w:pPr>
              <w:jc w:val="right"/>
              <w:ind w:right="230"/>
              <w:spacing w:after="0" w:line="191" w:lineRule="exact"/>
              <w:rPr>
                <w:sz w:val="20"/>
                <w:szCs w:val="20"/>
                <w:color w:val="auto"/>
              </w:rPr>
            </w:pPr>
            <w:r>
              <w:rPr>
                <w:rFonts w:ascii="Arial" w:cs="Arial" w:eastAsia="Arial" w:hAnsi="Arial"/>
                <w:sz w:val="18"/>
                <w:szCs w:val="18"/>
                <w:b w:val="1"/>
                <w:bCs w:val="1"/>
                <w:color w:val="auto"/>
              </w:rPr>
              <w:t>(Unaudited)</w:t>
            </w:r>
          </w:p>
        </w:tc>
        <w:tc>
          <w:tcPr>
            <w:tcW w:w="100" w:type="dxa"/>
            <w:vAlign w:val="bottom"/>
          </w:tcPr>
          <w:p>
            <w:pPr>
              <w:spacing w:after="0"/>
              <w:rPr>
                <w:sz w:val="16"/>
                <w:szCs w:val="16"/>
                <w:color w:val="auto"/>
              </w:rPr>
            </w:pPr>
          </w:p>
        </w:tc>
      </w:tr>
      <w:tr>
        <w:trPr>
          <w:trHeight w:val="234"/>
        </w:trPr>
        <w:tc>
          <w:tcPr>
            <w:tcW w:w="3840" w:type="dxa"/>
            <w:vAlign w:val="bottom"/>
          </w:tcPr>
          <w:p>
            <w:pPr>
              <w:spacing w:after="0"/>
              <w:rPr>
                <w:sz w:val="20"/>
                <w:szCs w:val="20"/>
                <w:color w:val="auto"/>
              </w:rPr>
            </w:pPr>
          </w:p>
        </w:tc>
        <w:tc>
          <w:tcPr>
            <w:tcW w:w="36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jc w:val="right"/>
              <w:ind w:right="65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20"/>
                <w:szCs w:val="20"/>
                <w:color w:val="auto"/>
              </w:rPr>
            </w:pPr>
          </w:p>
        </w:tc>
        <w:tc>
          <w:tcPr>
            <w:tcW w:w="1680" w:type="dxa"/>
            <w:vAlign w:val="bottom"/>
          </w:tcPr>
          <w:p>
            <w:pPr>
              <w:jc w:val="right"/>
              <w:ind w:right="65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20"/>
                <w:szCs w:val="20"/>
                <w:color w:val="auto"/>
              </w:rPr>
            </w:pPr>
          </w:p>
        </w:tc>
      </w:tr>
      <w:tr>
        <w:trPr>
          <w:trHeight w:val="216"/>
        </w:trPr>
        <w:tc>
          <w:tcPr>
            <w:tcW w:w="38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Lease Costs</w:t>
            </w:r>
          </w:p>
        </w:tc>
        <w:tc>
          <w:tcPr>
            <w:tcW w:w="36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3840" w:type="dxa"/>
            <w:vAlign w:val="bottom"/>
          </w:tcPr>
          <w:p>
            <w:pPr>
              <w:spacing w:after="0"/>
              <w:rPr>
                <w:sz w:val="20"/>
                <w:szCs w:val="20"/>
                <w:color w:val="auto"/>
              </w:rPr>
            </w:pPr>
            <w:r>
              <w:rPr>
                <w:rFonts w:ascii="Arial" w:cs="Arial" w:eastAsia="Arial" w:hAnsi="Arial"/>
                <w:sz w:val="18"/>
                <w:szCs w:val="18"/>
                <w:color w:val="auto"/>
              </w:rPr>
              <w:t>Operating lease expense</w:t>
            </w:r>
          </w:p>
        </w:tc>
        <w:tc>
          <w:tcPr>
            <w:tcW w:w="3720" w:type="dxa"/>
            <w:vAlign w:val="bottom"/>
            <w:gridSpan w:val="2"/>
          </w:tcPr>
          <w:p>
            <w:pPr>
              <w:jc w:val="center"/>
              <w:ind w:right="120"/>
              <w:spacing w:after="0"/>
              <w:rPr>
                <w:sz w:val="20"/>
                <w:szCs w:val="20"/>
                <w:color w:val="auto"/>
              </w:rPr>
            </w:pPr>
            <w:r>
              <w:rPr>
                <w:rFonts w:ascii="Arial" w:cs="Arial" w:eastAsia="Arial" w:hAnsi="Arial"/>
                <w:sz w:val="18"/>
                <w:szCs w:val="18"/>
                <w:color w:val="auto"/>
                <w:w w:val="88"/>
              </w:rPr>
              <w:t>General and administrative expenses</w:t>
            </w:r>
          </w:p>
        </w:tc>
        <w:tc>
          <w:tcPr>
            <w:tcW w:w="1900" w:type="dxa"/>
            <w:vAlign w:val="bottom"/>
            <w:gridSpan w:val="2"/>
          </w:tcPr>
          <w:p>
            <w:pPr>
              <w:jc w:val="right"/>
              <w:ind w:right="220"/>
              <w:spacing w:after="0"/>
              <w:rPr>
                <w:sz w:val="20"/>
                <w:szCs w:val="20"/>
                <w:color w:val="auto"/>
              </w:rPr>
            </w:pPr>
            <w:r>
              <w:rPr>
                <w:rFonts w:ascii="Arial" w:cs="Arial" w:eastAsia="Arial" w:hAnsi="Arial"/>
                <w:sz w:val="18"/>
                <w:szCs w:val="18"/>
                <w:color w:val="auto"/>
              </w:rPr>
              <w:t>50,845</w:t>
            </w:r>
          </w:p>
        </w:tc>
        <w:tc>
          <w:tcPr>
            <w:tcW w:w="1780" w:type="dxa"/>
            <w:vAlign w:val="bottom"/>
            <w:gridSpan w:val="2"/>
          </w:tcPr>
          <w:p>
            <w:pPr>
              <w:jc w:val="right"/>
              <w:ind w:right="100"/>
              <w:spacing w:after="0"/>
              <w:rPr>
                <w:sz w:val="20"/>
                <w:szCs w:val="20"/>
                <w:color w:val="auto"/>
              </w:rPr>
            </w:pPr>
            <w:r>
              <w:rPr>
                <w:rFonts w:ascii="Arial" w:cs="Arial" w:eastAsia="Arial" w:hAnsi="Arial"/>
                <w:sz w:val="18"/>
                <w:szCs w:val="18"/>
                <w:color w:val="auto"/>
              </w:rPr>
              <w:t>35,329</w:t>
            </w:r>
          </w:p>
        </w:tc>
      </w:tr>
      <w:tr>
        <w:trPr>
          <w:trHeight w:val="210"/>
        </w:trPr>
        <w:tc>
          <w:tcPr>
            <w:tcW w:w="384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net lease costs</w:t>
            </w:r>
          </w:p>
        </w:tc>
        <w:tc>
          <w:tcPr>
            <w:tcW w:w="3600" w:type="dxa"/>
            <w:vAlign w:val="bottom"/>
            <w:tcBorders>
              <w:top w:val="single" w:sz="8" w:color="EEEEEE"/>
              <w:bottom w:val="single" w:sz="8" w:color="EEEEEE"/>
            </w:tcBorders>
            <w:shd w:val="clear" w:color="auto" w:fill="EEEEEE"/>
          </w:tcPr>
          <w:p>
            <w:pPr>
              <w:spacing w:after="0"/>
              <w:rPr>
                <w:sz w:val="18"/>
                <w:szCs w:val="18"/>
                <w:color w:val="auto"/>
              </w:rPr>
            </w:pPr>
          </w:p>
        </w:tc>
        <w:tc>
          <w:tcPr>
            <w:tcW w:w="120" w:type="dxa"/>
            <w:vAlign w:val="bottom"/>
            <w:tcBorders>
              <w:top w:val="single" w:sz="8" w:color="EEEEEE"/>
              <w:bottom w:val="single" w:sz="8" w:color="EEEEEE"/>
            </w:tcBorders>
            <w:shd w:val="clear" w:color="auto" w:fill="EEEEEE"/>
          </w:tcPr>
          <w:p>
            <w:pPr>
              <w:spacing w:after="0"/>
              <w:rPr>
                <w:sz w:val="18"/>
                <w:szCs w:val="18"/>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50,845</w:t>
            </w:r>
          </w:p>
        </w:tc>
        <w:tc>
          <w:tcPr>
            <w:tcW w:w="220" w:type="dxa"/>
            <w:vAlign w:val="bottom"/>
            <w:tcBorders>
              <w:top w:val="single" w:sz="8" w:color="EEEEEE"/>
              <w:bottom w:val="single" w:sz="8" w:color="EEEEEE"/>
            </w:tcBorders>
            <w:shd w:val="clear" w:color="auto" w:fill="EEEEEE"/>
          </w:tcPr>
          <w:p>
            <w:pPr>
              <w:spacing w:after="0"/>
              <w:rPr>
                <w:sz w:val="18"/>
                <w:szCs w:val="18"/>
                <w:color w:val="auto"/>
              </w:rPr>
            </w:pPr>
          </w:p>
        </w:tc>
        <w:tc>
          <w:tcPr>
            <w:tcW w:w="16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35,329</w:t>
            </w:r>
          </w:p>
        </w:tc>
        <w:tc>
          <w:tcPr>
            <w:tcW w:w="100" w:type="dxa"/>
            <w:vAlign w:val="bottom"/>
            <w:tcBorders>
              <w:top w:val="single" w:sz="8" w:color="EEEEEE"/>
              <w:bottom w:val="single" w:sz="8" w:color="EEEEEE"/>
            </w:tcBorders>
            <w:shd w:val="clear" w:color="auto" w:fill="EEEEEE"/>
          </w:tcPr>
          <w:p>
            <w:pPr>
              <w:spacing w:after="0"/>
              <w:rPr>
                <w:sz w:val="18"/>
                <w:szCs w:val="18"/>
                <w:color w:val="auto"/>
              </w:rPr>
            </w:pPr>
          </w:p>
        </w:tc>
      </w:tr>
      <w:tr>
        <w:trPr>
          <w:trHeight w:val="20"/>
        </w:trPr>
        <w:tc>
          <w:tcPr>
            <w:tcW w:w="3840" w:type="dxa"/>
            <w:vAlign w:val="bottom"/>
          </w:tcPr>
          <w:p>
            <w:pPr>
              <w:spacing w:after="0" w:line="20" w:lineRule="exact"/>
              <w:rPr>
                <w:sz w:val="1"/>
                <w:szCs w:val="1"/>
                <w:color w:val="auto"/>
              </w:rPr>
            </w:pPr>
          </w:p>
        </w:tc>
        <w:tc>
          <w:tcPr>
            <w:tcW w:w="36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Maturity of lease liabilities under our non-cancelable operating leases as of December 31, 2022 and September 30, 2023 are US$ nil.</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220" w:type="dxa"/>
            <w:vAlign w:val="bottom"/>
          </w:tcPr>
          <w:p>
            <w:pPr>
              <w:spacing w:after="0"/>
              <w:rPr>
                <w:sz w:val="20"/>
                <w:szCs w:val="20"/>
                <w:color w:val="auto"/>
              </w:rPr>
            </w:pPr>
            <w:r>
              <w:rPr>
                <w:rFonts w:ascii="Arial" w:cs="Arial" w:eastAsia="Arial" w:hAnsi="Arial"/>
                <w:sz w:val="18"/>
                <w:szCs w:val="18"/>
                <w:b w:val="1"/>
                <w:bCs w:val="1"/>
                <w:color w:val="auto"/>
              </w:rPr>
              <w:t>Note 12  OTHER PAYABLES AND ACCRUED LIABILITIES</w:t>
            </w:r>
          </w:p>
        </w:tc>
        <w:tc>
          <w:tcPr>
            <w:tcW w:w="256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522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1780" w:type="dxa"/>
            <w:vAlign w:val="bottom"/>
            <w:gridSpan w:val="2"/>
          </w:tcPr>
          <w:p>
            <w:pPr>
              <w:jc w:val="right"/>
              <w:ind w:right="480"/>
              <w:spacing w:after="0"/>
              <w:rPr>
                <w:sz w:val="20"/>
                <w:szCs w:val="20"/>
                <w:color w:val="auto"/>
              </w:rPr>
            </w:pPr>
            <w:r>
              <w:rPr>
                <w:rFonts w:ascii="Arial" w:cs="Arial" w:eastAsia="Arial" w:hAnsi="Arial"/>
                <w:sz w:val="18"/>
                <w:szCs w:val="18"/>
                <w:b w:val="1"/>
                <w:bCs w:val="1"/>
                <w:color w:val="auto"/>
              </w:rPr>
              <w:t>September 30,</w:t>
            </w:r>
          </w:p>
        </w:tc>
        <w:tc>
          <w:tcPr>
            <w:tcW w:w="1680" w:type="dxa"/>
            <w:vAlign w:val="bottom"/>
            <w:gridSpan w:val="2"/>
          </w:tcPr>
          <w:p>
            <w:pPr>
              <w:ind w:left="24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5220" w:type="dxa"/>
            <w:vAlign w:val="bottom"/>
          </w:tcPr>
          <w:p>
            <w:pPr>
              <w:spacing w:after="0"/>
              <w:rPr>
                <w:sz w:val="20"/>
                <w:szCs w:val="20"/>
                <w:color w:val="auto"/>
              </w:rPr>
            </w:pPr>
          </w:p>
        </w:tc>
        <w:tc>
          <w:tcPr>
            <w:tcW w:w="4120" w:type="dxa"/>
            <w:vAlign w:val="bottom"/>
            <w:gridSpan w:val="2"/>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580" w:type="dxa"/>
            <w:vAlign w:val="bottom"/>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5220" w:type="dxa"/>
            <w:vAlign w:val="bottom"/>
          </w:tcPr>
          <w:p>
            <w:pPr>
              <w:spacing w:after="0"/>
              <w:rPr>
                <w:sz w:val="16"/>
                <w:szCs w:val="16"/>
                <w:color w:val="auto"/>
              </w:rPr>
            </w:pPr>
          </w:p>
        </w:tc>
        <w:tc>
          <w:tcPr>
            <w:tcW w:w="2560" w:type="dxa"/>
            <w:vAlign w:val="bottom"/>
          </w:tcPr>
          <w:p>
            <w:pPr>
              <w:spacing w:after="0"/>
              <w:rPr>
                <w:sz w:val="16"/>
                <w:szCs w:val="16"/>
                <w:color w:val="auto"/>
              </w:rPr>
            </w:pPr>
          </w:p>
        </w:tc>
        <w:tc>
          <w:tcPr>
            <w:tcW w:w="1560" w:type="dxa"/>
            <w:vAlign w:val="bottom"/>
            <w:tcBorders>
              <w:top w:val="single" w:sz="8" w:color="auto"/>
            </w:tcBorders>
          </w:tcPr>
          <w:p>
            <w:pPr>
              <w:jc w:val="right"/>
              <w:ind w:right="17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5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5220" w:type="dxa"/>
            <w:vAlign w:val="bottom"/>
          </w:tcPr>
          <w:p>
            <w:pPr>
              <w:spacing w:after="0"/>
              <w:rPr>
                <w:sz w:val="20"/>
                <w:szCs w:val="20"/>
                <w:color w:val="auto"/>
              </w:rPr>
            </w:pPr>
          </w:p>
        </w:tc>
        <w:tc>
          <w:tcPr>
            <w:tcW w:w="4120" w:type="dxa"/>
            <w:vAlign w:val="bottom"/>
            <w:gridSpan w:val="2"/>
          </w:tcPr>
          <w:p>
            <w:pPr>
              <w:jc w:val="right"/>
              <w:ind w:right="59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580" w:type="dxa"/>
            <w:vAlign w:val="bottom"/>
          </w:tcPr>
          <w:p>
            <w:pPr>
              <w:jc w:val="right"/>
              <w:ind w:right="6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5220" w:type="dxa"/>
            <w:vAlign w:val="bottom"/>
            <w:shd w:val="clear" w:color="auto" w:fill="EEEEEE"/>
          </w:tcPr>
          <w:p>
            <w:pPr>
              <w:spacing w:after="0"/>
              <w:rPr>
                <w:sz w:val="20"/>
                <w:szCs w:val="20"/>
                <w:color w:val="auto"/>
              </w:rPr>
            </w:pPr>
            <w:r>
              <w:rPr>
                <w:rFonts w:ascii="Arial" w:cs="Arial" w:eastAsia="Arial" w:hAnsi="Arial"/>
                <w:sz w:val="18"/>
                <w:szCs w:val="18"/>
                <w:color w:val="auto"/>
              </w:rPr>
              <w:t>Salary payable</w:t>
            </w:r>
          </w:p>
        </w:tc>
        <w:tc>
          <w:tcPr>
            <w:tcW w:w="4340" w:type="dxa"/>
            <w:vAlign w:val="bottom"/>
            <w:gridSpan w:val="3"/>
            <w:shd w:val="clear" w:color="auto" w:fill="EEEEEE"/>
          </w:tcPr>
          <w:p>
            <w:pPr>
              <w:jc w:val="right"/>
              <w:ind w:right="200"/>
              <w:spacing w:after="0"/>
              <w:rPr>
                <w:sz w:val="20"/>
                <w:szCs w:val="20"/>
                <w:color w:val="auto"/>
              </w:rPr>
            </w:pPr>
            <w:r>
              <w:rPr>
                <w:rFonts w:ascii="Arial" w:cs="Arial" w:eastAsia="Arial" w:hAnsi="Arial"/>
                <w:sz w:val="18"/>
                <w:szCs w:val="18"/>
                <w:color w:val="auto"/>
              </w:rPr>
              <w:t>818</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861</w:t>
            </w:r>
          </w:p>
        </w:tc>
        <w:tc>
          <w:tcPr>
            <w:tcW w:w="0" w:type="dxa"/>
            <w:vAlign w:val="bottom"/>
          </w:tcPr>
          <w:p>
            <w:pPr>
              <w:spacing w:after="0"/>
              <w:rPr>
                <w:sz w:val="1"/>
                <w:szCs w:val="1"/>
                <w:color w:val="auto"/>
              </w:rPr>
            </w:pPr>
          </w:p>
        </w:tc>
      </w:tr>
      <w:tr>
        <w:trPr>
          <w:trHeight w:val="216"/>
        </w:trPr>
        <w:tc>
          <w:tcPr>
            <w:tcW w:w="5220" w:type="dxa"/>
            <w:vAlign w:val="bottom"/>
          </w:tcPr>
          <w:p>
            <w:pPr>
              <w:spacing w:after="0"/>
              <w:rPr>
                <w:sz w:val="20"/>
                <w:szCs w:val="20"/>
                <w:color w:val="auto"/>
              </w:rPr>
            </w:pPr>
            <w:r>
              <w:rPr>
                <w:rFonts w:ascii="Arial" w:cs="Arial" w:eastAsia="Arial" w:hAnsi="Arial"/>
                <w:sz w:val="18"/>
                <w:szCs w:val="18"/>
                <w:color w:val="auto"/>
              </w:rPr>
              <w:t>Others</w:t>
            </w:r>
          </w:p>
        </w:tc>
        <w:tc>
          <w:tcPr>
            <w:tcW w:w="4340" w:type="dxa"/>
            <w:vAlign w:val="bottom"/>
            <w:gridSpan w:val="3"/>
          </w:tcPr>
          <w:p>
            <w:pPr>
              <w:jc w:val="right"/>
              <w:ind w:right="200"/>
              <w:spacing w:after="0"/>
              <w:rPr>
                <w:sz w:val="20"/>
                <w:szCs w:val="20"/>
                <w:color w:val="auto"/>
              </w:rPr>
            </w:pPr>
            <w:r>
              <w:rPr>
                <w:rFonts w:ascii="Arial" w:cs="Arial" w:eastAsia="Arial" w:hAnsi="Arial"/>
                <w:sz w:val="18"/>
                <w:szCs w:val="18"/>
                <w:color w:val="auto"/>
              </w:rPr>
              <w:t>48,955</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37,527</w:t>
            </w:r>
          </w:p>
        </w:tc>
        <w:tc>
          <w:tcPr>
            <w:tcW w:w="0" w:type="dxa"/>
            <w:vAlign w:val="bottom"/>
          </w:tcPr>
          <w:p>
            <w:pPr>
              <w:spacing w:after="0"/>
              <w:rPr>
                <w:sz w:val="1"/>
                <w:szCs w:val="1"/>
                <w:color w:val="auto"/>
              </w:rPr>
            </w:pPr>
          </w:p>
        </w:tc>
      </w:tr>
      <w:tr>
        <w:trPr>
          <w:trHeight w:val="209"/>
        </w:trPr>
        <w:tc>
          <w:tcPr>
            <w:tcW w:w="522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w:t>
            </w:r>
          </w:p>
        </w:tc>
        <w:tc>
          <w:tcPr>
            <w:tcW w:w="2560" w:type="dxa"/>
            <w:vAlign w:val="bottom"/>
            <w:tcBorders>
              <w:top w:val="single" w:sz="8" w:color="EEEEEE"/>
              <w:bottom w:val="single" w:sz="8" w:color="EEEEEE"/>
            </w:tcBorders>
            <w:shd w:val="clear" w:color="auto" w:fill="EEEEEE"/>
          </w:tcPr>
          <w:p>
            <w:pPr>
              <w:spacing w:after="0"/>
              <w:rPr>
                <w:sz w:val="18"/>
                <w:szCs w:val="18"/>
                <w:color w:val="auto"/>
              </w:rPr>
            </w:pPr>
          </w:p>
        </w:tc>
        <w:tc>
          <w:tcPr>
            <w:tcW w:w="15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49,773</w:t>
            </w:r>
          </w:p>
        </w:tc>
        <w:tc>
          <w:tcPr>
            <w:tcW w:w="220" w:type="dxa"/>
            <w:vAlign w:val="bottom"/>
            <w:tcBorders>
              <w:top w:val="single" w:sz="8" w:color="EEEEEE"/>
              <w:bottom w:val="single" w:sz="8" w:color="EEEEEE"/>
            </w:tcBorders>
            <w:shd w:val="clear" w:color="auto" w:fill="EEEEEE"/>
          </w:tcPr>
          <w:p>
            <w:pPr>
              <w:spacing w:after="0"/>
              <w:rPr>
                <w:sz w:val="18"/>
                <w:szCs w:val="18"/>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38,388</w:t>
            </w:r>
          </w:p>
        </w:tc>
        <w:tc>
          <w:tcPr>
            <w:tcW w:w="100" w:type="dxa"/>
            <w:vAlign w:val="bottom"/>
            <w:tcBorders>
              <w:top w:val="single" w:sz="8" w:color="EEEEEE"/>
              <w:bottom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5220" w:type="dxa"/>
            <w:vAlign w:val="bottom"/>
          </w:tcPr>
          <w:p>
            <w:pPr>
              <w:spacing w:after="0" w:line="20" w:lineRule="exact"/>
              <w:rPr>
                <w:sz w:val="1"/>
                <w:szCs w:val="1"/>
                <w:color w:val="auto"/>
              </w:rPr>
            </w:pPr>
          </w:p>
        </w:tc>
        <w:tc>
          <w:tcPr>
            <w:tcW w:w="2560" w:type="dxa"/>
            <w:vAlign w:val="bottom"/>
            <w:vMerge w:val="restart"/>
          </w:tcPr>
          <w:p>
            <w:pPr>
              <w:jc w:val="right"/>
              <w:ind w:right="1970"/>
              <w:spacing w:after="0"/>
              <w:rPr>
                <w:sz w:val="20"/>
                <w:szCs w:val="20"/>
                <w:color w:val="auto"/>
              </w:rPr>
            </w:pPr>
            <w:r>
              <w:rPr>
                <w:rFonts w:ascii="Arial" w:cs="Arial" w:eastAsia="Arial" w:hAnsi="Arial"/>
                <w:sz w:val="18"/>
                <w:szCs w:val="18"/>
                <w:color w:val="auto"/>
              </w:rPr>
              <w:t>18</w:t>
            </w: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37"/>
        </w:trPr>
        <w:tc>
          <w:tcPr>
            <w:tcW w:w="5220" w:type="dxa"/>
            <w:vAlign w:val="bottom"/>
            <w:tcBorders>
              <w:bottom w:val="single" w:sz="8" w:color="auto"/>
            </w:tcBorders>
          </w:tcPr>
          <w:p>
            <w:pPr>
              <w:spacing w:after="0"/>
              <w:rPr>
                <w:sz w:val="24"/>
                <w:szCs w:val="24"/>
                <w:color w:val="auto"/>
              </w:rPr>
            </w:pPr>
          </w:p>
        </w:tc>
        <w:tc>
          <w:tcPr>
            <w:tcW w:w="2560" w:type="dxa"/>
            <w:vAlign w:val="bottom"/>
            <w:tcBorders>
              <w:bottom w:val="single" w:sz="8" w:color="auto"/>
            </w:tcBorders>
            <w:vMerge w:val="continue"/>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00" w:right="339" w:bottom="1440" w:gutter="0" w:footer="0" w:header="0"/>
        </w:sectPr>
      </w:pPr>
    </w:p>
    <w:bookmarkStart w:id="18" w:name="page19"/>
    <w:bookmarkEnd w:id="18"/>
    <w:p>
      <w:pPr>
        <w:spacing w:after="0"/>
        <w:tabs>
          <w:tab w:leader="none" w:pos="840" w:val="left"/>
        </w:tabs>
        <w:rPr>
          <w:sz w:val="20"/>
          <w:szCs w:val="20"/>
          <w:color w:val="auto"/>
        </w:rPr>
      </w:pPr>
      <w:r>
        <w:rPr>
          <w:rFonts w:ascii="Arial" w:cs="Arial" w:eastAsia="Arial" w:hAnsi="Arial"/>
          <w:sz w:val="18"/>
          <w:szCs w:val="18"/>
          <w:b w:val="1"/>
          <w:bCs w:val="1"/>
          <w:color w:val="auto"/>
        </w:rPr>
        <w:t>Note 13</w:t>
        <w:tab/>
        <w:t>INCOME TAXES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Company and its subsidiary, and the consolidated VIE file tax returns separately.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1) Value-added tax (“VAT”)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PRC</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Pursuant to the Provisional Regulation of the PRC on VAT and the related implementing rules, all entities and individuals (“taxpayers”) that are engaged in the sale of products in the PRC are generally required to pay VAT, at a rate of which was changed from 16% to 13% on April 1, 2019 of the gross sales proceeds received, less any deductible VAT already paid or borne by the taxpayers.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Taiwan</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Pursuant to the Value-added and Non-value-added Business Tax Act and the related implementing rules, all entities and individuals (“taxpayers”) that are engaged in the sale of products in the Taiwan are generally required to pay VAT, at a rate of 5%.</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2) Income tax</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United States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December 22, 2017, the Tax Cuts and Jobs Act (the “Tax Act”) was signed into legislation. The Tax Act significantly revises the U.S. corporate income tax by, among other things, lowering the statutory corporate tax rate from 34% to 21%, imposing a mandatory one-time tax on accumulated earnings of foreign subsidiaries, introducing new tax regimes, and changing how foreign earnings are subject to U.S. tax.</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December 22, 2017, Staff Accounting Bulletin No. 118 (“SAB 118”) was issued to provide guidance on accounting for the tax effects of the Tax Act. SAB 118 provides a measurement period that should not extend beyond one year from the Tax Act enactment date for companies to complete the accounting under ASC 740. The Company has completed the assessment of the income tax effect of the Tax Act and there were no adjustments recorded to the provisional amounts.</w:t>
      </w:r>
    </w:p>
    <w:p>
      <w:pPr>
        <w:spacing w:after="0" w:line="18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Coronavirus Aid, Relief and Economy Security Act (the “CARES Act”) was signed into law on March 27, 2020. The CARES Act temporarily eliminates the 80% taxable income limitation (as enacted under the Tax Cuts and Jobs Act of 2017) for NOL deductions for 2018-2020 tax years and reinstated NOL carrybacks for the 2018-2020 tax years. Moreover, the CARES Act also temporarily increases the business interest deduction limitations from 30% to 50% of adjusted taxable income for the 2019 and 2020 taxable year. Lastly, the Tax Act technical correction classifies qualified improvement property as 15-year recovery period, allowing the bonus depreciation deduction to be claimed for such property retroactively as if it was included in the Tax Act at the time of enactment. The Company does not anticipate a significant tax impact on its financial statements and will continue to examine the impact the CARES Act may have on its business.</w:t>
      </w: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9" w:name="page20"/>
    <w:bookmarkEnd w:id="19"/>
    <w:p>
      <w:pPr>
        <w:jc w:val="both"/>
        <w:spacing w:after="0" w:line="273" w:lineRule="auto"/>
        <w:rPr>
          <w:sz w:val="20"/>
          <w:szCs w:val="20"/>
          <w:color w:val="auto"/>
        </w:rPr>
      </w:pPr>
      <w:r>
        <w:rPr>
          <w:rFonts w:ascii="Arial" w:cs="Arial" w:eastAsia="Arial" w:hAnsi="Arial"/>
          <w:sz w:val="17"/>
          <w:szCs w:val="17"/>
          <w:color w:val="auto"/>
        </w:rPr>
        <w:t>The Company evaluated the Global Intangible Low Taxed Income (“GILTI”) inclusion on current earnings and profits of greater than 10% owned foreign controlled corporations. The Company has evaluated whether it has additional provision amount resulted by the GILTI inclusion on current earnings and profits of its foreign controlled corporations. The law also provides that corporate taxpayers may benefit from a 50% reduction in the GILTI inclusion, which effectively reduces the 21% U.S. corporate tax rate on the foreign income to an effective rate of 10.5%. The GILTI inclusion further provides for a foreign tax credit in connection with the foreign taxes paid. In 2019, the Company recorded a GILTI inclusion of $152,829. The Company has elected to treat the financial statement impact of GILTI as current period expenses.</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reverse merger was completed on December 31, 2018 and the tax losses of US subsidiary was not in the scope as of December 31, 2018. As of December 31, 2019, net operating loss carried forward which was available to offset future taxable income for the Company in the United States was $99,817. There is a full valuation allowance applied against these loss carry forward as management determined it was not more likely than not that these net operating losses would be utilized in the foreseeable future.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Hong Kong</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HK tax reform has introduced two-tiered profits tax rates for corporations. Under the two-tiered profits tax rates regime, the profits tax rate for the first HK$2 million (approximately $257,931) of assessable profits will be lowered to 8.25% (half of the rate specified in Schedule 8 to the Inland Revenue Ordinance (IRO)) for corporations. Assessable profits above HK$2 million (approximately $257,931) will continue to be subject to the rate of 16.5% for corporations. The Company assessed that the HK entity will not earn a profit greater than HK$2 million (approximately $257,931), it is subject to a corporate income tax rate of 8.25%.</w:t>
      </w:r>
    </w:p>
    <w:p>
      <w:pPr>
        <w:spacing w:after="0" w:line="188"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As of December 31, 2022, the Company’s subsidiary in Hong Kong had net operating loss carry forwards available to offset future taxable income. The net operating losses will be carryforward indefinitely under Hong Kong Profits Tax regulation. There is a full valuation allowance applied against these loss carry forward as management determined it was not more likely than not that these net operating losses would be utilized in the foreseeable future.</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PRC</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WFOE and the consolidated VIE established in the PRC are subject to the PRC statutory income tax rate of 25%, according to the PRC Enterprise Income Tax (“EIT”) law.</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accordance with the relevant tax laws and regulations of the PRC, a company registered in the PRC is subject to income taxes within the PRC at the applicable tax rate on taxable income. All the PRC subsidiaries were subject to income tax at a rate of 25% for the year ended December 31, 2022. According to PRC tax regulations, the PRC net operating loss can generally carry forward for no longer than five years starting from the year subsequent to the year in which the loss was incurred.</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0" w:name="page21"/>
    <w:bookmarkEnd w:id="20"/>
    <w:p>
      <w:pPr>
        <w:spacing w:after="0"/>
        <w:rPr>
          <w:sz w:val="20"/>
          <w:szCs w:val="20"/>
          <w:color w:val="auto"/>
        </w:rPr>
      </w:pPr>
      <w:r>
        <w:rPr>
          <w:rFonts w:ascii="Arial" w:cs="Arial" w:eastAsia="Arial" w:hAnsi="Arial"/>
          <w:sz w:val="18"/>
          <w:szCs w:val="18"/>
          <w:u w:val="single" w:color="auto"/>
          <w:color w:val="auto"/>
        </w:rPr>
        <w:t>Taiwan</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Company’s loss before income taxes is primarily derived from the operations in Taiwan and income tax expense is primarily incurred in Taiwan.</w:t>
      </w:r>
    </w:p>
    <w:p>
      <w:pPr>
        <w:spacing w:after="0" w:line="23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As a result of amendments to the “Taiwan Income Tax Act” enacted by the Office of the President of Taiwan on February 7, 2018, the statutory income tax rate increased from 17% to 20% and the undistributed earning tax, or a surtax, decreased from 10% to 5% effective from January 1, 2018. As a result, the statutory income tax rate in Taiwan is 20% for the years ended August 31, 2021 and 2020. An additional surtax, of which rate was reduced from 10% to 5% being applied to the Company starting from September 1, 2018, is assessed on undistributed income for the entities in Taiwan, but only to the extent such income is not distributed or set aside as a legal reserve before the end of the following year. The 5% surtax is recorded in the period the income is earned, and the reduction in the surtax liability is recognized in the period the distribution to stockholders or the setting aside of legal reserve is finalized in the following year.</w:t>
      </w:r>
    </w:p>
    <w:p>
      <w:pPr>
        <w:sectPr>
          <w:pgSz w:w="11900" w:h="16838" w:orient="portrait"/>
          <w:cols w:equalWidth="0" w:num="1">
            <w:col w:w="11240"/>
          </w:cols>
          <w:pgMar w:left="320" w:top="800" w:right="339" w:bottom="1440" w:gutter="0" w:footer="0" w:header="0"/>
        </w:sectPr>
      </w:pP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color w:val="auto"/>
        </w:rPr>
        <w:t>The components of the income tax expense 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color w:val="auto"/>
        </w:rPr>
        <w:t>Current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Deferred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income tax expense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2540" w:type="dxa"/>
            <w:vAlign w:val="bottom"/>
            <w:gridSpan w:val="3"/>
          </w:tcPr>
          <w:p>
            <w:pPr>
              <w:jc w:val="center"/>
              <w:ind w:left="870"/>
              <w:spacing w:after="0"/>
              <w:rPr>
                <w:sz w:val="20"/>
                <w:szCs w:val="20"/>
                <w:color w:val="auto"/>
              </w:rPr>
            </w:pPr>
            <w:r>
              <w:rPr>
                <w:rFonts w:ascii="Arial" w:cs="Arial" w:eastAsia="Arial" w:hAnsi="Arial"/>
                <w:sz w:val="18"/>
                <w:szCs w:val="18"/>
                <w:b w:val="1"/>
                <w:bCs w:val="1"/>
                <w:color w:val="auto"/>
                <w:w w:val="89"/>
              </w:rPr>
              <w:t>Three months ended</w:t>
            </w:r>
          </w:p>
        </w:tc>
        <w:tc>
          <w:tcPr>
            <w:tcW w:w="9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2480" w:type="dxa"/>
            <w:vAlign w:val="bottom"/>
            <w:gridSpan w:val="3"/>
          </w:tcPr>
          <w:p>
            <w:pPr>
              <w:jc w:val="center"/>
              <w:ind w:left="872"/>
              <w:spacing w:after="0"/>
              <w:rPr>
                <w:sz w:val="20"/>
                <w:szCs w:val="20"/>
                <w:color w:val="auto"/>
              </w:rPr>
            </w:pPr>
            <w:r>
              <w:rPr>
                <w:rFonts w:ascii="Arial" w:cs="Arial" w:eastAsia="Arial" w:hAnsi="Arial"/>
                <w:sz w:val="18"/>
                <w:szCs w:val="18"/>
                <w:b w:val="1"/>
                <w:bCs w:val="1"/>
                <w:color w:val="auto"/>
                <w:w w:val="88"/>
              </w:rPr>
              <w:t>Nine months ended</w:t>
            </w:r>
          </w:p>
        </w:tc>
        <w:tc>
          <w:tcPr>
            <w:tcW w:w="980" w:type="dxa"/>
            <w:vAlign w:val="bottom"/>
          </w:tcPr>
          <w:p>
            <w:pPr>
              <w:spacing w:after="0"/>
              <w:rPr>
                <w:sz w:val="18"/>
                <w:szCs w:val="18"/>
                <w:color w:val="auto"/>
              </w:rPr>
            </w:pPr>
          </w:p>
        </w:tc>
        <w:tc>
          <w:tcPr>
            <w:tcW w:w="60" w:type="dxa"/>
            <w:vAlign w:val="bottom"/>
          </w:tcPr>
          <w:p>
            <w:pPr>
              <w:spacing w:after="0"/>
              <w:rPr>
                <w:sz w:val="18"/>
                <w:szCs w:val="18"/>
                <w:color w:val="auto"/>
              </w:rPr>
            </w:pPr>
          </w:p>
        </w:tc>
      </w:tr>
      <w:tr>
        <w:trPr>
          <w:trHeight w:val="234"/>
        </w:trPr>
        <w:tc>
          <w:tcPr>
            <w:tcW w:w="2540" w:type="dxa"/>
            <w:vAlign w:val="bottom"/>
            <w:tcBorders>
              <w:bottom w:val="single" w:sz="8" w:color="auto"/>
            </w:tcBorders>
            <w:gridSpan w:val="3"/>
          </w:tcPr>
          <w:p>
            <w:pPr>
              <w:jc w:val="center"/>
              <w:ind w:left="870"/>
              <w:spacing w:after="0"/>
              <w:rPr>
                <w:sz w:val="20"/>
                <w:szCs w:val="20"/>
                <w:color w:val="auto"/>
              </w:rPr>
            </w:pPr>
            <w:r>
              <w:rPr>
                <w:rFonts w:ascii="Arial" w:cs="Arial" w:eastAsia="Arial" w:hAnsi="Arial"/>
                <w:sz w:val="18"/>
                <w:szCs w:val="18"/>
                <w:b w:val="1"/>
                <w:bCs w:val="1"/>
                <w:color w:val="auto"/>
                <w:w w:val="89"/>
              </w:rPr>
              <w:t>September 30,</w:t>
            </w:r>
          </w:p>
        </w:tc>
        <w:tc>
          <w:tcPr>
            <w:tcW w:w="980" w:type="dxa"/>
            <w:vAlign w:val="bottom"/>
            <w:tcBorders>
              <w:bottom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2480" w:type="dxa"/>
            <w:vAlign w:val="bottom"/>
            <w:tcBorders>
              <w:bottom w:val="single" w:sz="8" w:color="auto"/>
            </w:tcBorders>
            <w:gridSpan w:val="3"/>
          </w:tcPr>
          <w:p>
            <w:pPr>
              <w:jc w:val="center"/>
              <w:ind w:left="892"/>
              <w:spacing w:after="0"/>
              <w:rPr>
                <w:sz w:val="20"/>
                <w:szCs w:val="20"/>
                <w:color w:val="auto"/>
              </w:rPr>
            </w:pPr>
            <w:r>
              <w:rPr>
                <w:rFonts w:ascii="Arial" w:cs="Arial" w:eastAsia="Arial" w:hAnsi="Arial"/>
                <w:sz w:val="18"/>
                <w:szCs w:val="18"/>
                <w:b w:val="1"/>
                <w:bCs w:val="1"/>
                <w:color w:val="auto"/>
                <w:w w:val="89"/>
              </w:rPr>
              <w:t>September 30,</w:t>
            </w:r>
          </w:p>
        </w:tc>
        <w:tc>
          <w:tcPr>
            <w:tcW w:w="980" w:type="dxa"/>
            <w:vAlign w:val="bottom"/>
            <w:tcBorders>
              <w:bottom w:val="single" w:sz="8" w:color="auto"/>
            </w:tcBorders>
          </w:tcPr>
          <w:p>
            <w:pPr>
              <w:spacing w:after="0"/>
              <w:rPr>
                <w:sz w:val="20"/>
                <w:szCs w:val="20"/>
                <w:color w:val="auto"/>
              </w:rPr>
            </w:pPr>
          </w:p>
        </w:tc>
        <w:tc>
          <w:tcPr>
            <w:tcW w:w="60" w:type="dxa"/>
            <w:vAlign w:val="bottom"/>
          </w:tcPr>
          <w:p>
            <w:pPr>
              <w:spacing w:after="0"/>
              <w:rPr>
                <w:sz w:val="20"/>
                <w:szCs w:val="20"/>
                <w:color w:val="auto"/>
              </w:rPr>
            </w:pPr>
          </w:p>
        </w:tc>
      </w:tr>
      <w:tr>
        <w:trPr>
          <w:trHeight w:val="223"/>
        </w:trPr>
        <w:tc>
          <w:tcPr>
            <w:tcW w:w="160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2023</w:t>
            </w:r>
          </w:p>
        </w:tc>
        <w:tc>
          <w:tcPr>
            <w:tcW w:w="340" w:type="dxa"/>
            <w:vAlign w:val="bottom"/>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w w:val="84"/>
              </w:rPr>
              <w:t>2022</w:t>
            </w:r>
          </w:p>
        </w:tc>
        <w:tc>
          <w:tcPr>
            <w:tcW w:w="320" w:type="dxa"/>
            <w:vAlign w:val="bottom"/>
          </w:tcPr>
          <w:p>
            <w:pPr>
              <w:spacing w:after="0"/>
              <w:rPr>
                <w:sz w:val="19"/>
                <w:szCs w:val="19"/>
                <w:color w:val="auto"/>
              </w:rPr>
            </w:pPr>
          </w:p>
        </w:tc>
        <w:tc>
          <w:tcPr>
            <w:tcW w:w="1560" w:type="dxa"/>
            <w:vAlign w:val="bottom"/>
            <w:tcBorders>
              <w:bottom w:val="single" w:sz="8" w:color="auto"/>
            </w:tcBorders>
          </w:tcPr>
          <w:p>
            <w:pPr>
              <w:jc w:val="right"/>
              <w:ind w:right="512"/>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w w:val="84"/>
              </w:rPr>
              <w:t>2022</w:t>
            </w:r>
          </w:p>
        </w:tc>
        <w:tc>
          <w:tcPr>
            <w:tcW w:w="60" w:type="dxa"/>
            <w:vAlign w:val="bottom"/>
          </w:tcPr>
          <w:p>
            <w:pPr>
              <w:spacing w:after="0"/>
              <w:rPr>
                <w:sz w:val="19"/>
                <w:szCs w:val="19"/>
                <w:color w:val="auto"/>
              </w:rPr>
            </w:pPr>
          </w:p>
        </w:tc>
      </w:tr>
      <w:tr>
        <w:trPr>
          <w:trHeight w:val="195"/>
        </w:trPr>
        <w:tc>
          <w:tcPr>
            <w:tcW w:w="1600" w:type="dxa"/>
            <w:vAlign w:val="bottom"/>
          </w:tcPr>
          <w:p>
            <w:pPr>
              <w:jc w:val="right"/>
              <w:ind w:right="670"/>
              <w:spacing w:after="0" w:line="195" w:lineRule="exact"/>
              <w:rPr>
                <w:sz w:val="20"/>
                <w:szCs w:val="20"/>
                <w:color w:val="auto"/>
              </w:rPr>
            </w:pPr>
            <w:r>
              <w:rPr>
                <w:rFonts w:ascii="Arial" w:cs="Arial" w:eastAsia="Arial" w:hAnsi="Arial"/>
                <w:sz w:val="18"/>
                <w:szCs w:val="18"/>
                <w:color w:val="auto"/>
              </w:rPr>
              <w:t>$</w:t>
            </w:r>
          </w:p>
        </w:tc>
        <w:tc>
          <w:tcPr>
            <w:tcW w:w="34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320" w:type="dxa"/>
            <w:vAlign w:val="bottom"/>
          </w:tcPr>
          <w:p>
            <w:pPr>
              <w:spacing w:after="0"/>
              <w:rPr>
                <w:sz w:val="16"/>
                <w:szCs w:val="16"/>
                <w:color w:val="auto"/>
              </w:rPr>
            </w:pPr>
          </w:p>
        </w:tc>
        <w:tc>
          <w:tcPr>
            <w:tcW w:w="1560" w:type="dxa"/>
            <w:vAlign w:val="bottom"/>
          </w:tcPr>
          <w:p>
            <w:pPr>
              <w:jc w:val="right"/>
              <w:ind w:right="652"/>
              <w:spacing w:after="0" w:line="195" w:lineRule="exact"/>
              <w:rPr>
                <w:sz w:val="20"/>
                <w:szCs w:val="20"/>
                <w:color w:val="auto"/>
              </w:rPr>
            </w:pPr>
            <w:r>
              <w:rPr>
                <w:rFonts w:ascii="Arial" w:cs="Arial" w:eastAsia="Arial" w:hAnsi="Arial"/>
                <w:sz w:val="18"/>
                <w:szCs w:val="18"/>
                <w:color w:val="auto"/>
              </w:rPr>
              <w:t>$</w:t>
            </w:r>
          </w:p>
        </w:tc>
        <w:tc>
          <w:tcPr>
            <w:tcW w:w="3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9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6"/>
                <w:szCs w:val="16"/>
                <w:color w:val="auto"/>
              </w:rPr>
            </w:pPr>
          </w:p>
        </w:tc>
      </w:tr>
      <w:tr>
        <w:trPr>
          <w:trHeight w:val="230"/>
        </w:trPr>
        <w:tc>
          <w:tcPr>
            <w:tcW w:w="2540" w:type="dxa"/>
            <w:vAlign w:val="bottom"/>
            <w:gridSpan w:val="3"/>
          </w:tcPr>
          <w:p>
            <w:pPr>
              <w:ind w:left="150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260"/>
              <w:spacing w:after="0"/>
              <w:rPr>
                <w:sz w:val="20"/>
                <w:szCs w:val="20"/>
                <w:color w:val="auto"/>
              </w:rPr>
            </w:pPr>
            <w:r>
              <w:rPr>
                <w:rFonts w:ascii="Arial" w:cs="Arial" w:eastAsia="Arial" w:hAnsi="Arial"/>
                <w:sz w:val="18"/>
                <w:szCs w:val="18"/>
                <w:color w:val="auto"/>
              </w:rPr>
              <w:t>(2,592)</w:t>
            </w:r>
          </w:p>
        </w:tc>
        <w:tc>
          <w:tcPr>
            <w:tcW w:w="2480" w:type="dxa"/>
            <w:vAlign w:val="bottom"/>
            <w:gridSpan w:val="3"/>
          </w:tcPr>
          <w:p>
            <w:pPr>
              <w:ind w:left="148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spacing w:after="0"/>
              <w:rPr>
                <w:sz w:val="20"/>
                <w:szCs w:val="20"/>
                <w:color w:val="auto"/>
              </w:rPr>
            </w:pPr>
            <w:r>
              <w:rPr>
                <w:rFonts w:ascii="Arial" w:cs="Arial" w:eastAsia="Arial" w:hAnsi="Arial"/>
                <w:sz w:val="18"/>
                <w:szCs w:val="18"/>
                <w:color w:val="auto"/>
              </w:rPr>
              <w:t>(422)</w:t>
            </w:r>
          </w:p>
        </w:tc>
      </w:tr>
      <w:tr>
        <w:trPr>
          <w:trHeight w:val="230"/>
        </w:trPr>
        <w:tc>
          <w:tcPr>
            <w:tcW w:w="2540" w:type="dxa"/>
            <w:vAlign w:val="bottom"/>
            <w:gridSpan w:val="3"/>
          </w:tcPr>
          <w:p>
            <w:pPr>
              <w:ind w:left="1500"/>
              <w:spacing w:after="0"/>
              <w:rPr>
                <w:sz w:val="20"/>
                <w:szCs w:val="20"/>
                <w:color w:val="auto"/>
              </w:rPr>
            </w:pPr>
            <w:r>
              <w:rPr>
                <w:rFonts w:ascii="Arial" w:cs="Arial" w:eastAsia="Arial" w:hAnsi="Arial"/>
                <w:sz w:val="18"/>
                <w:szCs w:val="18"/>
                <w:color w:val="auto"/>
              </w:rPr>
              <w:t>–</w:t>
            </w:r>
          </w:p>
        </w:tc>
        <w:tc>
          <w:tcPr>
            <w:tcW w:w="13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480" w:type="dxa"/>
            <w:vAlign w:val="bottom"/>
            <w:gridSpan w:val="3"/>
          </w:tcPr>
          <w:p>
            <w:pPr>
              <w:ind w:left="1480"/>
              <w:spacing w:after="0"/>
              <w:rPr>
                <w:sz w:val="20"/>
                <w:szCs w:val="20"/>
                <w:color w:val="auto"/>
              </w:rPr>
            </w:pPr>
            <w:r>
              <w:rPr>
                <w:rFonts w:ascii="Arial" w:cs="Arial" w:eastAsia="Arial" w:hAnsi="Arial"/>
                <w:sz w:val="18"/>
                <w:szCs w:val="18"/>
                <w:color w:val="auto"/>
              </w:rPr>
              <w:t>–</w:t>
            </w:r>
          </w:p>
        </w:tc>
        <w:tc>
          <w:tcPr>
            <w:tcW w:w="10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r>
      <w:tr>
        <w:trPr>
          <w:trHeight w:val="223"/>
        </w:trPr>
        <w:tc>
          <w:tcPr>
            <w:tcW w:w="1600" w:type="dxa"/>
            <w:vAlign w:val="bottom"/>
            <w:tcBorders>
              <w:top w:val="single" w:sz="8" w:color="auto"/>
              <w:bottom w:val="single" w:sz="8" w:color="auto"/>
            </w:tcBorders>
          </w:tcPr>
          <w:p>
            <w:pPr>
              <w:ind w:left="1500"/>
              <w:spacing w:after="0"/>
              <w:rPr>
                <w:sz w:val="20"/>
                <w:szCs w:val="20"/>
                <w:color w:val="auto"/>
              </w:rPr>
            </w:pPr>
            <w:r>
              <w:rPr>
                <w:rFonts w:ascii="Arial" w:cs="Arial" w:eastAsia="Arial" w:hAnsi="Arial"/>
                <w:sz w:val="18"/>
                <w:szCs w:val="18"/>
                <w:color w:val="auto"/>
                <w:w w:val="79"/>
              </w:rPr>
              <w:t>–</w:t>
            </w:r>
          </w:p>
        </w:tc>
        <w:tc>
          <w:tcPr>
            <w:tcW w:w="340" w:type="dxa"/>
            <w:vAlign w:val="bottom"/>
          </w:tcPr>
          <w:p>
            <w:pPr>
              <w:spacing w:after="0"/>
              <w:rPr>
                <w:sz w:val="19"/>
                <w:szCs w:val="19"/>
                <w:color w:val="auto"/>
              </w:rPr>
            </w:pPr>
          </w:p>
        </w:tc>
        <w:tc>
          <w:tcPr>
            <w:tcW w:w="60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(2,592)</w:t>
            </w:r>
          </w:p>
        </w:tc>
        <w:tc>
          <w:tcPr>
            <w:tcW w:w="320" w:type="dxa"/>
            <w:vAlign w:val="bottom"/>
          </w:tcPr>
          <w:p>
            <w:pPr>
              <w:spacing w:after="0"/>
              <w:rPr>
                <w:sz w:val="19"/>
                <w:szCs w:val="19"/>
                <w:color w:val="auto"/>
              </w:rPr>
            </w:pPr>
          </w:p>
        </w:tc>
        <w:tc>
          <w:tcPr>
            <w:tcW w:w="1560" w:type="dxa"/>
            <w:vAlign w:val="bottom"/>
            <w:tcBorders>
              <w:top w:val="single" w:sz="8" w:color="auto"/>
              <w:bottom w:val="single" w:sz="8" w:color="auto"/>
            </w:tcBorders>
          </w:tcPr>
          <w:p>
            <w:pPr>
              <w:ind w:left="1480"/>
              <w:spacing w:after="0"/>
              <w:rPr>
                <w:sz w:val="20"/>
                <w:szCs w:val="20"/>
                <w:color w:val="auto"/>
              </w:rPr>
            </w:pPr>
            <w:r>
              <w:rPr>
                <w:rFonts w:ascii="Arial" w:cs="Arial" w:eastAsia="Arial" w:hAnsi="Arial"/>
                <w:sz w:val="15"/>
                <w:szCs w:val="15"/>
                <w:color w:val="auto"/>
                <w:w w:val="71"/>
              </w:rPr>
              <w:t>–</w:t>
            </w:r>
          </w:p>
        </w:tc>
        <w:tc>
          <w:tcPr>
            <w:tcW w:w="320" w:type="dxa"/>
            <w:vAlign w:val="bottom"/>
          </w:tcPr>
          <w:p>
            <w:pPr>
              <w:spacing w:after="0"/>
              <w:rPr>
                <w:sz w:val="19"/>
                <w:szCs w:val="19"/>
                <w:color w:val="auto"/>
              </w:rPr>
            </w:pPr>
          </w:p>
        </w:tc>
        <w:tc>
          <w:tcPr>
            <w:tcW w:w="600" w:type="dxa"/>
            <w:vAlign w:val="bottom"/>
            <w:tcBorders>
              <w:top w:val="single" w:sz="8" w:color="auto"/>
              <w:bottom w:val="single" w:sz="8" w:color="auto"/>
            </w:tcBorders>
          </w:tcPr>
          <w:p>
            <w:pPr>
              <w:spacing w:after="0"/>
              <w:rPr>
                <w:sz w:val="19"/>
                <w:szCs w:val="19"/>
                <w:color w:val="auto"/>
              </w:rPr>
            </w:pPr>
          </w:p>
        </w:tc>
        <w:tc>
          <w:tcPr>
            <w:tcW w:w="9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(422)</w:t>
            </w:r>
          </w:p>
        </w:tc>
        <w:tc>
          <w:tcPr>
            <w:tcW w:w="60" w:type="dxa"/>
            <w:vAlign w:val="bottom"/>
          </w:tcPr>
          <w:p>
            <w:pPr>
              <w:spacing w:after="0"/>
              <w:rPr>
                <w:sz w:val="19"/>
                <w:szCs w:val="19"/>
                <w:color w:val="auto"/>
              </w:rPr>
            </w:pPr>
          </w:p>
        </w:tc>
      </w:tr>
      <w:tr>
        <w:trPr>
          <w:trHeight w:val="20"/>
        </w:trPr>
        <w:tc>
          <w:tcPr>
            <w:tcW w:w="1600" w:type="dxa"/>
            <w:vAlign w:val="bottom"/>
            <w:tcBorders>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-2432685</wp:posOffset>
            </wp:positionH>
            <wp:positionV relativeFrom="paragraph">
              <wp:posOffset>-462280</wp:posOffset>
            </wp:positionV>
            <wp:extent cx="7132320" cy="1371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-2432685</wp:posOffset>
            </wp:positionH>
            <wp:positionV relativeFrom="paragraph">
              <wp:posOffset>-179070</wp:posOffset>
            </wp:positionV>
            <wp:extent cx="7132320" cy="16319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3440" w:space="400"/>
            <w:col w:w="7400"/>
          </w:cols>
          <w:pgMar w:left="320" w:top="800" w:right="339" w:bottom="1440" w:gutter="0" w:footer="0" w:header="0"/>
          <w:type w:val="continuous"/>
        </w:sectPr>
      </w:pPr>
    </w:p>
    <w:p>
      <w:pPr>
        <w:spacing w:after="0" w:line="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reconciliation of income taxes expenses computed at the Taiwan statutory tax rate (2021: at PRC statutory rate) applicable to income tax expense is as follows: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660" w:type="dxa"/>
            <w:vAlign w:val="bottom"/>
          </w:tcPr>
          <w:p>
            <w:pPr>
              <w:spacing w:after="0"/>
              <w:rPr>
                <w:sz w:val="18"/>
                <w:szCs w:val="18"/>
                <w:color w:val="auto"/>
              </w:rPr>
            </w:pPr>
          </w:p>
        </w:tc>
        <w:tc>
          <w:tcPr>
            <w:tcW w:w="2500" w:type="dxa"/>
            <w:vAlign w:val="bottom"/>
            <w:gridSpan w:val="3"/>
          </w:tcPr>
          <w:p>
            <w:pPr>
              <w:jc w:val="center"/>
              <w:ind w:left="890"/>
              <w:spacing w:after="0"/>
              <w:rPr>
                <w:sz w:val="20"/>
                <w:szCs w:val="20"/>
                <w:color w:val="auto"/>
              </w:rPr>
            </w:pPr>
            <w:r>
              <w:rPr>
                <w:rFonts w:ascii="Arial" w:cs="Arial" w:eastAsia="Arial" w:hAnsi="Arial"/>
                <w:sz w:val="18"/>
                <w:szCs w:val="18"/>
                <w:b w:val="1"/>
                <w:bCs w:val="1"/>
                <w:color w:val="auto"/>
                <w:w w:val="88"/>
              </w:rPr>
              <w:t>Nine months ended</w:t>
            </w:r>
          </w:p>
        </w:tc>
        <w:tc>
          <w:tcPr>
            <w:tcW w:w="9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4"/>
        </w:trPr>
        <w:tc>
          <w:tcPr>
            <w:tcW w:w="7660" w:type="dxa"/>
            <w:vAlign w:val="bottom"/>
          </w:tcPr>
          <w:p>
            <w:pPr>
              <w:spacing w:after="0"/>
              <w:rPr>
                <w:sz w:val="20"/>
                <w:szCs w:val="20"/>
                <w:color w:val="auto"/>
              </w:rPr>
            </w:pPr>
          </w:p>
        </w:tc>
        <w:tc>
          <w:tcPr>
            <w:tcW w:w="2500" w:type="dxa"/>
            <w:vAlign w:val="bottom"/>
            <w:tcBorders>
              <w:bottom w:val="single" w:sz="8" w:color="auto"/>
            </w:tcBorders>
            <w:gridSpan w:val="3"/>
          </w:tcPr>
          <w:p>
            <w:pPr>
              <w:jc w:val="center"/>
              <w:ind w:left="870"/>
              <w:spacing w:after="0"/>
              <w:rPr>
                <w:sz w:val="20"/>
                <w:szCs w:val="20"/>
                <w:color w:val="auto"/>
              </w:rPr>
            </w:pPr>
            <w:r>
              <w:rPr>
                <w:rFonts w:ascii="Arial" w:cs="Arial" w:eastAsia="Arial" w:hAnsi="Arial"/>
                <w:sz w:val="18"/>
                <w:szCs w:val="18"/>
                <w:b w:val="1"/>
                <w:bCs w:val="1"/>
                <w:color w:val="auto"/>
                <w:w w:val="89"/>
              </w:rPr>
              <w:t>September 30,</w:t>
            </w:r>
          </w:p>
        </w:tc>
        <w:tc>
          <w:tcPr>
            <w:tcW w:w="98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7660" w:type="dxa"/>
            <w:vAlign w:val="bottom"/>
            <w:tcBorders>
              <w:bottom w:val="single" w:sz="8" w:color="EEEEEE"/>
            </w:tcBorders>
          </w:tcPr>
          <w:p>
            <w:pPr>
              <w:spacing w:after="0"/>
              <w:rPr>
                <w:sz w:val="19"/>
                <w:szCs w:val="19"/>
                <w:color w:val="auto"/>
              </w:rPr>
            </w:pPr>
          </w:p>
        </w:tc>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Borders>
              <w:bottom w:val="single" w:sz="8" w:color="EEEEEE"/>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w w:val="84"/>
              </w:rPr>
              <w:t>2022</w:t>
            </w:r>
          </w:p>
        </w:tc>
        <w:tc>
          <w:tcPr>
            <w:tcW w:w="100" w:type="dxa"/>
            <w:vAlign w:val="bottom"/>
            <w:tcBorders>
              <w:bottom w:val="single" w:sz="8" w:color="EEEEEE"/>
            </w:tcBorders>
          </w:tcPr>
          <w:p>
            <w:pPr>
              <w:spacing w:after="0"/>
              <w:rPr>
                <w:sz w:val="19"/>
                <w:szCs w:val="19"/>
                <w:color w:val="auto"/>
              </w:rPr>
            </w:pPr>
          </w:p>
        </w:tc>
      </w:tr>
      <w:tr>
        <w:trPr>
          <w:trHeight w:val="209"/>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Taiwan (2021-PRC) income tax statutory rate</w:t>
            </w: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20.00%</w:t>
            </w:r>
          </w:p>
        </w:tc>
        <w:tc>
          <w:tcPr>
            <w:tcW w:w="320" w:type="dxa"/>
            <w:vAlign w:val="bottom"/>
            <w:shd w:val="clear" w:color="auto" w:fill="EEEEEE"/>
          </w:tcPr>
          <w:p>
            <w:pPr>
              <w:spacing w:after="0"/>
              <w:rPr>
                <w:sz w:val="18"/>
                <w:szCs w:val="18"/>
                <w:color w:val="auto"/>
              </w:rPr>
            </w:pPr>
          </w:p>
        </w:tc>
        <w:tc>
          <w:tcPr>
            <w:tcW w:w="600" w:type="dxa"/>
            <w:vAlign w:val="bottom"/>
            <w:shd w:val="clear" w:color="auto" w:fill="EEEEEE"/>
          </w:tcPr>
          <w:p>
            <w:pPr>
              <w:spacing w:after="0"/>
              <w:rPr>
                <w:sz w:val="18"/>
                <w:szCs w:val="18"/>
                <w:color w:val="auto"/>
              </w:rPr>
            </w:pPr>
          </w:p>
        </w:tc>
        <w:tc>
          <w:tcPr>
            <w:tcW w:w="9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20.00%</w:t>
            </w:r>
          </w:p>
        </w:tc>
        <w:tc>
          <w:tcPr>
            <w:tcW w:w="100" w:type="dxa"/>
            <w:vAlign w:val="bottom"/>
            <w:shd w:val="clear" w:color="auto" w:fill="EEEEEE"/>
          </w:tcPr>
          <w:p>
            <w:pPr>
              <w:spacing w:after="0"/>
              <w:rPr>
                <w:sz w:val="18"/>
                <w:szCs w:val="18"/>
                <w:color w:val="auto"/>
              </w:rPr>
            </w:pP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Impact of different tax rates in other jurisdictions</w:t>
            </w:r>
          </w:p>
        </w:tc>
        <w:tc>
          <w:tcPr>
            <w:tcW w:w="1900" w:type="dxa"/>
            <w:vAlign w:val="bottom"/>
            <w:gridSpan w:val="2"/>
          </w:tcPr>
          <w:p>
            <w:pPr>
              <w:jc w:val="right"/>
              <w:ind w:right="260"/>
              <w:spacing w:after="0"/>
              <w:rPr>
                <w:sz w:val="20"/>
                <w:szCs w:val="20"/>
                <w:color w:val="auto"/>
              </w:rPr>
            </w:pPr>
            <w:r>
              <w:rPr>
                <w:rFonts w:ascii="Arial" w:cs="Arial" w:eastAsia="Arial" w:hAnsi="Arial"/>
                <w:sz w:val="18"/>
                <w:szCs w:val="18"/>
                <w:color w:val="auto"/>
              </w:rPr>
              <w:t>(0.03%)</w:t>
            </w:r>
          </w:p>
        </w:tc>
        <w:tc>
          <w:tcPr>
            <w:tcW w:w="600" w:type="dxa"/>
            <w:vAlign w:val="bottom"/>
          </w:tcPr>
          <w:p>
            <w:pPr>
              <w:spacing w:after="0"/>
              <w:rPr>
                <w:sz w:val="18"/>
                <w:szCs w:val="18"/>
                <w:color w:val="auto"/>
              </w:rPr>
            </w:pP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1.19%</w:t>
            </w: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Tax effect of non-deductible expenses</w:t>
            </w:r>
          </w:p>
        </w:tc>
        <w:tc>
          <w:tcPr>
            <w:tcW w:w="190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(10.39%)</w:t>
            </w:r>
          </w:p>
        </w:tc>
        <w:tc>
          <w:tcPr>
            <w:tcW w:w="600" w:type="dxa"/>
            <w:vAlign w:val="bottom"/>
            <w:shd w:val="clear" w:color="auto" w:fill="EEEEEE"/>
          </w:tcPr>
          <w:p>
            <w:pPr>
              <w:spacing w:after="0"/>
              <w:rPr>
                <w:sz w:val="18"/>
                <w:szCs w:val="18"/>
                <w:color w:val="auto"/>
              </w:rPr>
            </w:pPr>
          </w:p>
        </w:tc>
        <w:tc>
          <w:tcPr>
            <w:tcW w:w="108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(9.19%)</w:t>
            </w: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Tax effect of non-deductible share based compensation</w:t>
            </w:r>
          </w:p>
        </w:tc>
        <w:tc>
          <w:tcPr>
            <w:tcW w:w="1900" w:type="dxa"/>
            <w:vAlign w:val="bottom"/>
            <w:gridSpan w:val="2"/>
          </w:tcPr>
          <w:p>
            <w:pPr>
              <w:jc w:val="right"/>
              <w:ind w:right="260"/>
              <w:spacing w:after="0"/>
              <w:rPr>
                <w:sz w:val="20"/>
                <w:szCs w:val="20"/>
                <w:color w:val="auto"/>
              </w:rPr>
            </w:pPr>
            <w:r>
              <w:rPr>
                <w:rFonts w:ascii="Arial" w:cs="Arial" w:eastAsia="Arial" w:hAnsi="Arial"/>
                <w:sz w:val="18"/>
                <w:szCs w:val="18"/>
                <w:color w:val="auto"/>
              </w:rPr>
              <w:t>(25.72%)</w:t>
            </w:r>
          </w:p>
        </w:tc>
        <w:tc>
          <w:tcPr>
            <w:tcW w:w="600" w:type="dxa"/>
            <w:vAlign w:val="bottom"/>
          </w:tcPr>
          <w:p>
            <w:pPr>
              <w:spacing w:after="0"/>
              <w:rPr>
                <w:sz w:val="18"/>
                <w:szCs w:val="18"/>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(3.65%)</w:t>
            </w: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Tax effect of non-taxable income</w:t>
            </w:r>
          </w:p>
        </w:tc>
        <w:tc>
          <w:tcPr>
            <w:tcW w:w="19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7.25%</w:t>
            </w:r>
          </w:p>
        </w:tc>
        <w:tc>
          <w:tcPr>
            <w:tcW w:w="600" w:type="dxa"/>
            <w:vAlign w:val="bottom"/>
            <w:shd w:val="clear" w:color="auto" w:fill="EEEEEE"/>
          </w:tcPr>
          <w:p>
            <w:pPr>
              <w:spacing w:after="0"/>
              <w:rPr>
                <w:sz w:val="18"/>
                <w:szCs w:val="18"/>
                <w:color w:val="auto"/>
              </w:rPr>
            </w:pPr>
          </w:p>
        </w:tc>
        <w:tc>
          <w:tcPr>
            <w:tcW w:w="10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Utilization of tax losses</w:t>
            </w:r>
          </w:p>
        </w:tc>
        <w:tc>
          <w:tcPr>
            <w:tcW w:w="2500" w:type="dxa"/>
            <w:vAlign w:val="bottom"/>
            <w:gridSpan w:val="3"/>
          </w:tcPr>
          <w:p>
            <w:pPr>
              <w:ind w:left="1500"/>
              <w:spacing w:after="0"/>
              <w:rPr>
                <w:sz w:val="20"/>
                <w:szCs w:val="20"/>
                <w:color w:val="auto"/>
              </w:rPr>
            </w:pPr>
            <w:r>
              <w:rPr>
                <w:rFonts w:ascii="Arial" w:cs="Arial" w:eastAsia="Arial" w:hAnsi="Arial"/>
                <w:sz w:val="18"/>
                <w:szCs w:val="18"/>
                <w:color w:val="auto"/>
              </w:rPr>
              <w:t>–</w:t>
            </w:r>
          </w:p>
        </w:tc>
        <w:tc>
          <w:tcPr>
            <w:tcW w:w="10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Others</w:t>
            </w:r>
          </w:p>
        </w:tc>
        <w:tc>
          <w:tcPr>
            <w:tcW w:w="19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0.03%</w:t>
            </w:r>
          </w:p>
        </w:tc>
        <w:tc>
          <w:tcPr>
            <w:tcW w:w="600" w:type="dxa"/>
            <w:vAlign w:val="bottom"/>
            <w:shd w:val="clear" w:color="auto" w:fill="EEEEEE"/>
          </w:tcPr>
          <w:p>
            <w:pPr>
              <w:spacing w:after="0"/>
              <w:rPr>
                <w:sz w:val="18"/>
                <w:szCs w:val="18"/>
                <w:color w:val="auto"/>
              </w:rPr>
            </w:pPr>
          </w:p>
        </w:tc>
        <w:tc>
          <w:tcPr>
            <w:tcW w:w="10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0.04%</w:t>
            </w:r>
          </w:p>
        </w:tc>
      </w:tr>
      <w:tr>
        <w:trPr>
          <w:trHeight w:val="229"/>
        </w:trPr>
        <w:tc>
          <w:tcPr>
            <w:tcW w:w="7660" w:type="dxa"/>
            <w:vAlign w:val="bottom"/>
          </w:tcPr>
          <w:p>
            <w:pPr>
              <w:spacing w:after="0"/>
              <w:rPr>
                <w:sz w:val="20"/>
                <w:szCs w:val="20"/>
                <w:color w:val="auto"/>
              </w:rPr>
            </w:pPr>
            <w:r>
              <w:rPr>
                <w:rFonts w:ascii="Arial" w:cs="Arial" w:eastAsia="Arial" w:hAnsi="Arial"/>
                <w:sz w:val="18"/>
                <w:szCs w:val="18"/>
                <w:color w:val="auto"/>
              </w:rPr>
              <w:t>Changes in valuation allowance</w:t>
            </w:r>
          </w:p>
        </w:tc>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8.5%</w:t>
            </w:r>
          </w:p>
        </w:tc>
        <w:tc>
          <w:tcPr>
            <w:tcW w:w="600" w:type="dxa"/>
            <w:vAlign w:val="bottom"/>
          </w:tcPr>
          <w:p>
            <w:pPr>
              <w:spacing w:after="0"/>
              <w:rPr>
                <w:sz w:val="19"/>
                <w:szCs w:val="19"/>
                <w:color w:val="auto"/>
              </w:rPr>
            </w:pPr>
          </w:p>
        </w:tc>
        <w:tc>
          <w:tcPr>
            <w:tcW w:w="1080" w:type="dxa"/>
            <w:vAlign w:val="bottom"/>
            <w:gridSpan w:val="2"/>
          </w:tcPr>
          <w:p>
            <w:pPr>
              <w:jc w:val="right"/>
              <w:ind w:right="40"/>
              <w:spacing w:after="0"/>
              <w:rPr>
                <w:sz w:val="20"/>
                <w:szCs w:val="20"/>
                <w:color w:val="auto"/>
              </w:rPr>
            </w:pPr>
            <w:r>
              <w:rPr>
                <w:rFonts w:ascii="Arial" w:cs="Arial" w:eastAsia="Arial" w:hAnsi="Arial"/>
                <w:sz w:val="18"/>
                <w:szCs w:val="18"/>
                <w:color w:val="auto"/>
              </w:rPr>
              <w:t>(8.57%)</w:t>
            </w:r>
          </w:p>
        </w:tc>
      </w:tr>
      <w:tr>
        <w:trPr>
          <w:trHeight w:val="223"/>
        </w:trPr>
        <w:tc>
          <w:tcPr>
            <w:tcW w:w="766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Effective tax rate</w:t>
            </w: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(0.02%)</w:t>
            </w:r>
          </w:p>
        </w:tc>
        <w:tc>
          <w:tcPr>
            <w:tcW w:w="320" w:type="dxa"/>
            <w:vAlign w:val="bottom"/>
            <w:tcBorders>
              <w:top w:val="single" w:sz="8" w:color="EEEEEE"/>
              <w:bottom w:val="single" w:sz="8" w:color="EEEEEE"/>
            </w:tcBorders>
            <w:shd w:val="clear" w:color="auto" w:fill="EEEEEE"/>
          </w:tcPr>
          <w:p>
            <w:pPr>
              <w:spacing w:after="0"/>
              <w:rPr>
                <w:sz w:val="19"/>
                <w:szCs w:val="19"/>
                <w:color w:val="auto"/>
              </w:rPr>
            </w:pPr>
          </w:p>
        </w:tc>
        <w:tc>
          <w:tcPr>
            <w:tcW w:w="600" w:type="dxa"/>
            <w:vAlign w:val="bottom"/>
            <w:tcBorders>
              <w:top w:val="single" w:sz="8" w:color="auto"/>
              <w:bottom w:val="single" w:sz="8" w:color="auto"/>
            </w:tcBorders>
            <w:shd w:val="clear" w:color="auto" w:fill="EEEEEE"/>
          </w:tcPr>
          <w:p>
            <w:pPr>
              <w:spacing w:after="0"/>
              <w:rPr>
                <w:sz w:val="19"/>
                <w:szCs w:val="19"/>
                <w:color w:val="auto"/>
              </w:rPr>
            </w:pPr>
          </w:p>
        </w:tc>
        <w:tc>
          <w:tcPr>
            <w:tcW w:w="9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(0.18%)</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66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600" w:type="dxa"/>
            <w:vAlign w:val="bottom"/>
            <w:tcBorders>
              <w:bottom w:val="single" w:sz="8" w:color="auto"/>
            </w:tcBorders>
          </w:tcPr>
          <w:p>
            <w:pPr>
              <w:spacing w:after="0" w:line="20" w:lineRule="exact"/>
              <w:rPr>
                <w:sz w:val="1"/>
                <w:szCs w:val="1"/>
                <w:color w:val="auto"/>
              </w:rPr>
            </w:pPr>
          </w:p>
        </w:tc>
        <w:tc>
          <w:tcPr>
            <w:tcW w:w="9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type w:val="continuous"/>
        </w:sectPr>
      </w:pPr>
    </w:p>
    <w:bookmarkStart w:id="21" w:name="page22"/>
    <w:bookmarkEnd w:id="21"/>
    <w:tbl>
      <w:tblPr>
        <w:tblLayout w:type="fixed"/>
        <w:tblInd w:w="0" w:type="dxa"/>
        <w:tblCellMar>
          <w:top w:w="0" w:type="dxa"/>
          <w:left w:w="0" w:type="dxa"/>
          <w:bottom w:w="0" w:type="dxa"/>
          <w:right w:w="0" w:type="dxa"/>
        </w:tblCellMar>
      </w:tblPr>
      <w:tr>
        <w:trPr>
          <w:trHeight w:val="230"/>
        </w:trPr>
        <w:tc>
          <w:tcPr>
            <w:tcW w:w="7660" w:type="dxa"/>
            <w:vAlign w:val="bottom"/>
          </w:tcPr>
          <w:p>
            <w:pPr>
              <w:spacing w:after="0"/>
              <w:rPr>
                <w:sz w:val="20"/>
                <w:szCs w:val="20"/>
                <w:color w:val="auto"/>
              </w:rPr>
            </w:pPr>
            <w:r>
              <w:rPr>
                <w:rFonts w:ascii="Arial" w:cs="Arial" w:eastAsia="Arial" w:hAnsi="Arial"/>
                <w:sz w:val="18"/>
                <w:szCs w:val="18"/>
                <w:color w:val="auto"/>
              </w:rPr>
              <w:t>3) Deferred tax assets (liabilities), net</w:t>
            </w:r>
          </w:p>
        </w:tc>
        <w:tc>
          <w:tcPr>
            <w:tcW w:w="15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9560" w:type="dxa"/>
            <w:vAlign w:val="bottom"/>
            <w:gridSpan w:val="3"/>
          </w:tcPr>
          <w:p>
            <w:pPr>
              <w:spacing w:after="0"/>
              <w:rPr>
                <w:sz w:val="20"/>
                <w:szCs w:val="20"/>
                <w:color w:val="auto"/>
              </w:rPr>
            </w:pPr>
            <w:r>
              <w:rPr>
                <w:rFonts w:ascii="Arial" w:cs="Arial" w:eastAsia="Arial" w:hAnsi="Arial"/>
                <w:sz w:val="18"/>
                <w:szCs w:val="18"/>
                <w:color w:val="auto"/>
                <w:w w:val="92"/>
              </w:rPr>
              <w:t>The tax effects of temporary differences representing deferred income tax assets and liabilities result principally from the following:</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4"/>
        </w:trPr>
        <w:tc>
          <w:tcPr>
            <w:tcW w:w="7660" w:type="dxa"/>
            <w:vAlign w:val="bottom"/>
          </w:tcPr>
          <w:p>
            <w:pPr>
              <w:spacing w:after="0"/>
              <w:rPr>
                <w:sz w:val="24"/>
                <w:szCs w:val="24"/>
                <w:color w:val="auto"/>
              </w:rPr>
            </w:pPr>
          </w:p>
        </w:tc>
        <w:tc>
          <w:tcPr>
            <w:tcW w:w="1900" w:type="dxa"/>
            <w:vAlign w:val="bottom"/>
            <w:gridSpan w:val="2"/>
          </w:tcPr>
          <w:p>
            <w:pPr>
              <w:ind w:left="300"/>
              <w:spacing w:after="0"/>
              <w:rPr>
                <w:sz w:val="20"/>
                <w:szCs w:val="20"/>
                <w:color w:val="auto"/>
              </w:rPr>
            </w:pPr>
            <w:r>
              <w:rPr>
                <w:rFonts w:ascii="Arial" w:cs="Arial" w:eastAsia="Arial" w:hAnsi="Arial"/>
                <w:sz w:val="18"/>
                <w:szCs w:val="18"/>
                <w:b w:val="1"/>
                <w:bCs w:val="1"/>
                <w:color w:val="auto"/>
              </w:rPr>
              <w:t>September 30,</w:t>
            </w:r>
          </w:p>
        </w:tc>
        <w:tc>
          <w:tcPr>
            <w:tcW w:w="1680" w:type="dxa"/>
            <w:vAlign w:val="bottom"/>
            <w:gridSpan w:val="2"/>
          </w:tcPr>
          <w:p>
            <w:pPr>
              <w:ind w:left="30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7660" w:type="dxa"/>
            <w:vAlign w:val="bottom"/>
          </w:tcPr>
          <w:p>
            <w:pPr>
              <w:spacing w:after="0"/>
              <w:rPr>
                <w:sz w:val="20"/>
                <w:szCs w:val="20"/>
                <w:color w:val="auto"/>
              </w:rPr>
            </w:pPr>
          </w:p>
        </w:tc>
        <w:tc>
          <w:tcPr>
            <w:tcW w:w="1580" w:type="dxa"/>
            <w:vAlign w:val="bottom"/>
            <w:tcBorders>
              <w:bottom w:val="single" w:sz="8" w:color="auto"/>
            </w:tcBorders>
          </w:tcPr>
          <w:p>
            <w:pPr>
              <w:jc w:val="center"/>
              <w:ind w:left="53"/>
              <w:spacing w:after="0"/>
              <w:rPr>
                <w:sz w:val="20"/>
                <w:szCs w:val="20"/>
                <w:color w:val="auto"/>
              </w:rPr>
            </w:pPr>
            <w:r>
              <w:rPr>
                <w:rFonts w:ascii="Arial" w:cs="Arial" w:eastAsia="Arial" w:hAnsi="Arial"/>
                <w:sz w:val="18"/>
                <w:szCs w:val="18"/>
                <w:b w:val="1"/>
                <w:bCs w:val="1"/>
                <w:color w:val="auto"/>
                <w:w w:val="89"/>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center"/>
              <w:ind w:left="10"/>
              <w:spacing w:after="0"/>
              <w:rPr>
                <w:sz w:val="20"/>
                <w:szCs w:val="20"/>
                <w:color w:val="auto"/>
              </w:rPr>
            </w:pPr>
            <w:r>
              <w:rPr>
                <w:rFonts w:ascii="Arial" w:cs="Arial" w:eastAsia="Arial" w:hAnsi="Arial"/>
                <w:sz w:val="18"/>
                <w:szCs w:val="18"/>
                <w:b w:val="1"/>
                <w:bCs w:val="1"/>
                <w:color w:val="auto"/>
                <w:w w:val="89"/>
              </w:rPr>
              <w:t>2022</w:t>
            </w:r>
          </w:p>
        </w:tc>
        <w:tc>
          <w:tcPr>
            <w:tcW w:w="100" w:type="dxa"/>
            <w:vAlign w:val="bottom"/>
          </w:tcPr>
          <w:p>
            <w:pPr>
              <w:spacing w:after="0"/>
              <w:rPr>
                <w:sz w:val="20"/>
                <w:szCs w:val="20"/>
                <w:color w:val="auto"/>
              </w:rPr>
            </w:pPr>
          </w:p>
        </w:tc>
      </w:tr>
      <w:tr>
        <w:trPr>
          <w:trHeight w:val="209"/>
        </w:trPr>
        <w:tc>
          <w:tcPr>
            <w:tcW w:w="7660" w:type="dxa"/>
            <w:vAlign w:val="bottom"/>
          </w:tcPr>
          <w:p>
            <w:pPr>
              <w:spacing w:after="0"/>
              <w:rPr>
                <w:sz w:val="18"/>
                <w:szCs w:val="18"/>
                <w:color w:val="auto"/>
              </w:rPr>
            </w:pPr>
          </w:p>
        </w:tc>
        <w:tc>
          <w:tcPr>
            <w:tcW w:w="1580" w:type="dxa"/>
            <w:vAlign w:val="bottom"/>
          </w:tcPr>
          <w:p>
            <w:pPr>
              <w:jc w:val="center"/>
              <w:ind w:left="33"/>
              <w:spacing w:after="0"/>
              <w:rPr>
                <w:sz w:val="20"/>
                <w:szCs w:val="20"/>
                <w:color w:val="auto"/>
              </w:rPr>
            </w:pPr>
            <w:r>
              <w:rPr>
                <w:rFonts w:ascii="Arial" w:cs="Arial" w:eastAsia="Arial" w:hAnsi="Arial"/>
                <w:sz w:val="18"/>
                <w:szCs w:val="18"/>
                <w:color w:val="auto"/>
                <w:w w:val="99"/>
              </w:rPr>
              <w:t>$</w:t>
            </w:r>
          </w:p>
        </w:tc>
        <w:tc>
          <w:tcPr>
            <w:tcW w:w="320" w:type="dxa"/>
            <w:vAlign w:val="bottom"/>
          </w:tcPr>
          <w:p>
            <w:pPr>
              <w:spacing w:after="0"/>
              <w:rPr>
                <w:sz w:val="18"/>
                <w:szCs w:val="18"/>
                <w:color w:val="auto"/>
              </w:rPr>
            </w:pPr>
          </w:p>
        </w:tc>
        <w:tc>
          <w:tcPr>
            <w:tcW w:w="1580" w:type="dxa"/>
            <w:vAlign w:val="bottom"/>
          </w:tcPr>
          <w:p>
            <w:pPr>
              <w:jc w:val="center"/>
              <w:ind w:left="1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Deferred tax assets</w:t>
            </w:r>
          </w:p>
        </w:tc>
        <w:tc>
          <w:tcPr>
            <w:tcW w:w="15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Tax loss carried forward</w:t>
            </w:r>
          </w:p>
        </w:tc>
        <w:tc>
          <w:tcPr>
            <w:tcW w:w="1900" w:type="dxa"/>
            <w:vAlign w:val="bottom"/>
            <w:gridSpan w:val="2"/>
          </w:tcPr>
          <w:p>
            <w:pPr>
              <w:ind w:left="15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ind w:left="1480"/>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Allowance for doubtful receivables</w:t>
            </w:r>
          </w:p>
        </w:tc>
        <w:tc>
          <w:tcPr>
            <w:tcW w:w="1900" w:type="dxa"/>
            <w:vAlign w:val="bottom"/>
            <w:gridSpan w:val="2"/>
            <w:shd w:val="clear" w:color="auto" w:fill="EEEEEE"/>
          </w:tcPr>
          <w:p>
            <w:pPr>
              <w:ind w:left="15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ind w:left="1480"/>
              <w:spacing w:after="0"/>
              <w:rPr>
                <w:sz w:val="20"/>
                <w:szCs w:val="20"/>
                <w:color w:val="auto"/>
              </w:rPr>
            </w:pPr>
            <w:r>
              <w:rPr>
                <w:rFonts w:ascii="Arial" w:cs="Arial" w:eastAsia="Arial" w:hAnsi="Arial"/>
                <w:sz w:val="18"/>
                <w:szCs w:val="18"/>
                <w:color w:val="auto"/>
              </w:rPr>
              <w:t>–</w:t>
            </w:r>
          </w:p>
        </w:tc>
      </w:tr>
      <w:tr>
        <w:trPr>
          <w:trHeight w:val="209"/>
        </w:trPr>
        <w:tc>
          <w:tcPr>
            <w:tcW w:w="7660" w:type="dxa"/>
            <w:vAlign w:val="bottom"/>
          </w:tcPr>
          <w:p>
            <w:pPr>
              <w:spacing w:after="0"/>
              <w:rPr>
                <w:sz w:val="20"/>
                <w:szCs w:val="20"/>
                <w:color w:val="auto"/>
              </w:rPr>
            </w:pPr>
            <w:r>
              <w:rPr>
                <w:rFonts w:ascii="Arial" w:cs="Arial" w:eastAsia="Arial" w:hAnsi="Arial"/>
                <w:sz w:val="18"/>
                <w:szCs w:val="18"/>
                <w:color w:val="auto"/>
              </w:rPr>
              <w:t>Total deferred tax assets</w:t>
            </w:r>
          </w:p>
        </w:tc>
        <w:tc>
          <w:tcPr>
            <w:tcW w:w="1580" w:type="dxa"/>
            <w:vAlign w:val="bottom"/>
            <w:tcBorders>
              <w:top w:val="single" w:sz="8" w:color="auto"/>
            </w:tcBorders>
          </w:tcPr>
          <w:p>
            <w:pPr>
              <w:ind w:left="1500"/>
              <w:spacing w:after="0"/>
              <w:rPr>
                <w:sz w:val="20"/>
                <w:szCs w:val="20"/>
                <w:color w:val="auto"/>
              </w:rPr>
            </w:pPr>
            <w:r>
              <w:rPr>
                <w:rFonts w:ascii="Arial" w:cs="Arial" w:eastAsia="Arial" w:hAnsi="Arial"/>
                <w:sz w:val="15"/>
                <w:szCs w:val="15"/>
                <w:color w:val="auto"/>
                <w:w w:val="71"/>
              </w:rPr>
              <w:t>–</w:t>
            </w:r>
          </w:p>
        </w:tc>
        <w:tc>
          <w:tcPr>
            <w:tcW w:w="320" w:type="dxa"/>
            <w:vAlign w:val="bottom"/>
          </w:tcPr>
          <w:p>
            <w:pPr>
              <w:spacing w:after="0"/>
              <w:rPr>
                <w:sz w:val="18"/>
                <w:szCs w:val="18"/>
                <w:color w:val="auto"/>
              </w:rPr>
            </w:pPr>
          </w:p>
        </w:tc>
        <w:tc>
          <w:tcPr>
            <w:tcW w:w="1580" w:type="dxa"/>
            <w:vAlign w:val="bottom"/>
            <w:tcBorders>
              <w:top w:val="single" w:sz="8" w:color="auto"/>
            </w:tcBorders>
          </w:tcPr>
          <w:p>
            <w:pPr>
              <w:ind w:left="148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Valuation allowance</w:t>
            </w:r>
          </w:p>
        </w:tc>
        <w:tc>
          <w:tcPr>
            <w:tcW w:w="1900" w:type="dxa"/>
            <w:vAlign w:val="bottom"/>
            <w:gridSpan w:val="2"/>
            <w:shd w:val="clear" w:color="auto" w:fill="EEEEEE"/>
          </w:tcPr>
          <w:p>
            <w:pPr>
              <w:ind w:left="15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ind w:left="1480"/>
              <w:spacing w:after="0"/>
              <w:rPr>
                <w:sz w:val="20"/>
                <w:szCs w:val="20"/>
                <w:color w:val="auto"/>
              </w:rPr>
            </w:pPr>
            <w:r>
              <w:rPr>
                <w:rFonts w:ascii="Arial" w:cs="Arial" w:eastAsia="Arial" w:hAnsi="Arial"/>
                <w:sz w:val="18"/>
                <w:szCs w:val="18"/>
                <w:color w:val="auto"/>
              </w:rPr>
              <w:t>–</w:t>
            </w:r>
          </w:p>
        </w:tc>
      </w:tr>
      <w:tr>
        <w:trPr>
          <w:trHeight w:val="210"/>
        </w:trPr>
        <w:tc>
          <w:tcPr>
            <w:tcW w:w="7660" w:type="dxa"/>
            <w:vAlign w:val="bottom"/>
          </w:tcPr>
          <w:p>
            <w:pPr>
              <w:spacing w:after="0"/>
              <w:rPr>
                <w:sz w:val="20"/>
                <w:szCs w:val="20"/>
                <w:color w:val="auto"/>
              </w:rPr>
            </w:pPr>
            <w:r>
              <w:rPr>
                <w:rFonts w:ascii="Arial" w:cs="Arial" w:eastAsia="Arial" w:hAnsi="Arial"/>
                <w:sz w:val="18"/>
                <w:szCs w:val="18"/>
                <w:b w:val="1"/>
                <w:bCs w:val="1"/>
                <w:color w:val="auto"/>
              </w:rPr>
              <w:t>Total deferred tax assets, net</w:t>
            </w:r>
          </w:p>
        </w:tc>
        <w:tc>
          <w:tcPr>
            <w:tcW w:w="1580" w:type="dxa"/>
            <w:vAlign w:val="bottom"/>
            <w:tcBorders>
              <w:top w:val="single" w:sz="8" w:color="auto"/>
              <w:bottom w:val="single" w:sz="8" w:color="auto"/>
            </w:tcBorders>
          </w:tcPr>
          <w:p>
            <w:pPr>
              <w:ind w:left="1500"/>
              <w:spacing w:after="0"/>
              <w:rPr>
                <w:sz w:val="20"/>
                <w:szCs w:val="20"/>
                <w:color w:val="auto"/>
              </w:rPr>
            </w:pPr>
            <w:r>
              <w:rPr>
                <w:rFonts w:ascii="Arial" w:cs="Arial" w:eastAsia="Arial" w:hAnsi="Arial"/>
                <w:sz w:val="15"/>
                <w:szCs w:val="15"/>
                <w:color w:val="auto"/>
                <w:w w:val="71"/>
              </w:rPr>
              <w:t>–</w:t>
            </w:r>
          </w:p>
        </w:tc>
        <w:tc>
          <w:tcPr>
            <w:tcW w:w="320" w:type="dxa"/>
            <w:vAlign w:val="bottom"/>
          </w:tcPr>
          <w:p>
            <w:pPr>
              <w:spacing w:after="0"/>
              <w:rPr>
                <w:sz w:val="18"/>
                <w:szCs w:val="18"/>
                <w:color w:val="auto"/>
              </w:rPr>
            </w:pPr>
          </w:p>
        </w:tc>
        <w:tc>
          <w:tcPr>
            <w:tcW w:w="1580" w:type="dxa"/>
            <w:vAlign w:val="bottom"/>
            <w:tcBorders>
              <w:top w:val="single" w:sz="8" w:color="auto"/>
              <w:bottom w:val="single" w:sz="8" w:color="auto"/>
            </w:tcBorders>
          </w:tcPr>
          <w:p>
            <w:pPr>
              <w:ind w:left="148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r>
      <w:tr>
        <w:trPr>
          <w:trHeight w:val="20"/>
        </w:trPr>
        <w:tc>
          <w:tcPr>
            <w:tcW w:w="766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94"/>
        </w:trPr>
        <w:tc>
          <w:tcPr>
            <w:tcW w:w="7660" w:type="dxa"/>
            <w:vAlign w:val="bottom"/>
          </w:tcPr>
          <w:p>
            <w:pPr>
              <w:spacing w:after="0"/>
              <w:rPr>
                <w:sz w:val="24"/>
                <w:szCs w:val="24"/>
                <w:color w:val="auto"/>
              </w:rPr>
            </w:pPr>
          </w:p>
        </w:tc>
        <w:tc>
          <w:tcPr>
            <w:tcW w:w="1900" w:type="dxa"/>
            <w:vAlign w:val="bottom"/>
            <w:gridSpan w:val="2"/>
          </w:tcPr>
          <w:p>
            <w:pPr>
              <w:ind w:left="300"/>
              <w:spacing w:after="0"/>
              <w:rPr>
                <w:sz w:val="20"/>
                <w:szCs w:val="20"/>
                <w:color w:val="auto"/>
              </w:rPr>
            </w:pPr>
            <w:r>
              <w:rPr>
                <w:rFonts w:ascii="Arial" w:cs="Arial" w:eastAsia="Arial" w:hAnsi="Arial"/>
                <w:sz w:val="18"/>
                <w:szCs w:val="18"/>
                <w:b w:val="1"/>
                <w:bCs w:val="1"/>
                <w:color w:val="auto"/>
              </w:rPr>
              <w:t>September 30,</w:t>
            </w:r>
          </w:p>
        </w:tc>
        <w:tc>
          <w:tcPr>
            <w:tcW w:w="1680" w:type="dxa"/>
            <w:vAlign w:val="bottom"/>
            <w:gridSpan w:val="2"/>
          </w:tcPr>
          <w:p>
            <w:pPr>
              <w:ind w:left="30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7660" w:type="dxa"/>
            <w:vAlign w:val="bottom"/>
          </w:tcPr>
          <w:p>
            <w:pPr>
              <w:spacing w:after="0"/>
              <w:rPr>
                <w:sz w:val="20"/>
                <w:szCs w:val="20"/>
                <w:color w:val="auto"/>
              </w:rPr>
            </w:pPr>
          </w:p>
        </w:tc>
        <w:tc>
          <w:tcPr>
            <w:tcW w:w="1580" w:type="dxa"/>
            <w:vAlign w:val="bottom"/>
            <w:tcBorders>
              <w:bottom w:val="single" w:sz="8" w:color="auto"/>
            </w:tcBorders>
          </w:tcPr>
          <w:p>
            <w:pPr>
              <w:jc w:val="center"/>
              <w:ind w:left="53"/>
              <w:spacing w:after="0"/>
              <w:rPr>
                <w:sz w:val="20"/>
                <w:szCs w:val="20"/>
                <w:color w:val="auto"/>
              </w:rPr>
            </w:pPr>
            <w:r>
              <w:rPr>
                <w:rFonts w:ascii="Arial" w:cs="Arial" w:eastAsia="Arial" w:hAnsi="Arial"/>
                <w:sz w:val="18"/>
                <w:szCs w:val="18"/>
                <w:b w:val="1"/>
                <w:bCs w:val="1"/>
                <w:color w:val="auto"/>
                <w:w w:val="89"/>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center"/>
              <w:ind w:left="10"/>
              <w:spacing w:after="0"/>
              <w:rPr>
                <w:sz w:val="20"/>
                <w:szCs w:val="20"/>
                <w:color w:val="auto"/>
              </w:rPr>
            </w:pPr>
            <w:r>
              <w:rPr>
                <w:rFonts w:ascii="Arial" w:cs="Arial" w:eastAsia="Arial" w:hAnsi="Arial"/>
                <w:sz w:val="18"/>
                <w:szCs w:val="18"/>
                <w:b w:val="1"/>
                <w:bCs w:val="1"/>
                <w:color w:val="auto"/>
                <w:w w:val="89"/>
              </w:rPr>
              <w:t>2022</w:t>
            </w:r>
          </w:p>
        </w:tc>
        <w:tc>
          <w:tcPr>
            <w:tcW w:w="100" w:type="dxa"/>
            <w:vAlign w:val="bottom"/>
          </w:tcPr>
          <w:p>
            <w:pPr>
              <w:spacing w:after="0"/>
              <w:rPr>
                <w:sz w:val="20"/>
                <w:szCs w:val="20"/>
                <w:color w:val="auto"/>
              </w:rPr>
            </w:pPr>
          </w:p>
        </w:tc>
      </w:tr>
      <w:tr>
        <w:trPr>
          <w:trHeight w:val="209"/>
        </w:trPr>
        <w:tc>
          <w:tcPr>
            <w:tcW w:w="7660" w:type="dxa"/>
            <w:vAlign w:val="bottom"/>
          </w:tcPr>
          <w:p>
            <w:pPr>
              <w:spacing w:after="0"/>
              <w:rPr>
                <w:sz w:val="18"/>
                <w:szCs w:val="18"/>
                <w:color w:val="auto"/>
              </w:rPr>
            </w:pPr>
          </w:p>
        </w:tc>
        <w:tc>
          <w:tcPr>
            <w:tcW w:w="1580" w:type="dxa"/>
            <w:vAlign w:val="bottom"/>
          </w:tcPr>
          <w:p>
            <w:pPr>
              <w:jc w:val="center"/>
              <w:ind w:left="33"/>
              <w:spacing w:after="0"/>
              <w:rPr>
                <w:sz w:val="20"/>
                <w:szCs w:val="20"/>
                <w:color w:val="auto"/>
              </w:rPr>
            </w:pPr>
            <w:r>
              <w:rPr>
                <w:rFonts w:ascii="Arial" w:cs="Arial" w:eastAsia="Arial" w:hAnsi="Arial"/>
                <w:sz w:val="18"/>
                <w:szCs w:val="18"/>
                <w:color w:val="auto"/>
                <w:w w:val="99"/>
              </w:rPr>
              <w:t>$</w:t>
            </w:r>
          </w:p>
        </w:tc>
        <w:tc>
          <w:tcPr>
            <w:tcW w:w="320" w:type="dxa"/>
            <w:vAlign w:val="bottom"/>
          </w:tcPr>
          <w:p>
            <w:pPr>
              <w:spacing w:after="0"/>
              <w:rPr>
                <w:sz w:val="18"/>
                <w:szCs w:val="18"/>
                <w:color w:val="auto"/>
              </w:rPr>
            </w:pPr>
          </w:p>
        </w:tc>
        <w:tc>
          <w:tcPr>
            <w:tcW w:w="1580" w:type="dxa"/>
            <w:vAlign w:val="bottom"/>
          </w:tcPr>
          <w:p>
            <w:pPr>
              <w:jc w:val="center"/>
              <w:ind w:left="1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Deferred tax liabilities</w:t>
            </w:r>
          </w:p>
        </w:tc>
        <w:tc>
          <w:tcPr>
            <w:tcW w:w="158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Property and equipment, difference in depreciation</w:t>
            </w:r>
          </w:p>
        </w:tc>
        <w:tc>
          <w:tcPr>
            <w:tcW w:w="1900" w:type="dxa"/>
            <w:vAlign w:val="bottom"/>
            <w:gridSpan w:val="2"/>
          </w:tcPr>
          <w:p>
            <w:pPr>
              <w:ind w:left="15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ind w:left="1480"/>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Deferred tax liabilities, net</w:t>
            </w:r>
          </w:p>
        </w:tc>
        <w:tc>
          <w:tcPr>
            <w:tcW w:w="1900" w:type="dxa"/>
            <w:vAlign w:val="bottom"/>
            <w:gridSpan w:val="2"/>
            <w:shd w:val="clear" w:color="auto" w:fill="EEEEEE"/>
          </w:tcPr>
          <w:p>
            <w:pPr>
              <w:ind w:left="15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ind w:left="1480"/>
              <w:spacing w:after="0"/>
              <w:rPr>
                <w:sz w:val="20"/>
                <w:szCs w:val="20"/>
                <w:color w:val="auto"/>
              </w:rPr>
            </w:pPr>
            <w:r>
              <w:rPr>
                <w:rFonts w:ascii="Arial" w:cs="Arial" w:eastAsia="Arial" w:hAnsi="Arial"/>
                <w:sz w:val="18"/>
                <w:szCs w:val="18"/>
                <w:color w:val="auto"/>
              </w:rPr>
              <w:t>–</w:t>
            </w:r>
          </w:p>
        </w:tc>
      </w:tr>
      <w:tr>
        <w:trPr>
          <w:trHeight w:val="20"/>
        </w:trPr>
        <w:tc>
          <w:tcPr>
            <w:tcW w:w="7660" w:type="dxa"/>
            <w:vAlign w:val="bottom"/>
            <w:tcBorders>
              <w:top w:val="single" w:sz="8" w:color="EEEEEE"/>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EEEEEE"/>
            </w:tcBorders>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r>
    </w:tbl>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valuation allowance as of September 30, 2023 and December 31, 2022 was primarily provided for the deferred income tax assets if it is more likely than not that these items will expire before the Company is able to realize its benefits, or that the future deductibility is uncertain. The ultimate realization of deferred income tax assets is dependent upon the generation of future taxable income during the periods in which those temporary differences become deductible or utilizable. Management considers projected future taxable income and tax planning strategies in making this assessment. The movement for the valuation allowance is as follows.</w:t>
      </w:r>
    </w:p>
    <w:p>
      <w:pPr>
        <w:sectPr>
          <w:pgSz w:w="11900" w:h="16838" w:orient="portrait"/>
          <w:cols w:equalWidth="0" w:num="1">
            <w:col w:w="11240"/>
          </w:cols>
          <w:pgMar w:left="320" w:top="800"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Balance at beginning of the year</w:t>
      </w:r>
    </w:p>
    <w:p>
      <w:pPr>
        <w:spacing w:after="0" w:line="50" w:lineRule="exact"/>
        <w:rPr>
          <w:sz w:val="20"/>
          <w:szCs w:val="20"/>
          <w:color w:val="auto"/>
        </w:rPr>
      </w:pPr>
    </w:p>
    <w:p>
      <w:pPr>
        <w:spacing w:after="0"/>
        <w:rPr>
          <w:sz w:val="20"/>
          <w:szCs w:val="20"/>
          <w:color w:val="auto"/>
        </w:rPr>
      </w:pPr>
      <w:r>
        <w:rPr>
          <w:rFonts w:ascii="Arial" w:cs="Arial" w:eastAsia="Arial" w:hAnsi="Arial"/>
          <w:sz w:val="17"/>
          <w:szCs w:val="17"/>
          <w:color w:val="auto"/>
        </w:rPr>
        <w:t>Additions of valuation allowance</w:t>
      </w:r>
    </w:p>
    <w:p>
      <w:pPr>
        <w:spacing w:after="0" w:line="21" w:lineRule="exact"/>
        <w:rPr>
          <w:sz w:val="20"/>
          <w:szCs w:val="20"/>
          <w:color w:val="auto"/>
        </w:rPr>
      </w:pPr>
    </w:p>
    <w:p>
      <w:pPr>
        <w:spacing w:after="0"/>
        <w:rPr>
          <w:sz w:val="20"/>
          <w:szCs w:val="20"/>
          <w:color w:val="auto"/>
        </w:rPr>
      </w:pPr>
      <w:r>
        <w:rPr>
          <w:rFonts w:ascii="Arial" w:cs="Arial" w:eastAsia="Arial" w:hAnsi="Arial"/>
          <w:sz w:val="16"/>
          <w:szCs w:val="16"/>
          <w:color w:val="auto"/>
        </w:rPr>
        <w:t>Reductions of valuation allowance</w:t>
      </w:r>
    </w:p>
    <w:p>
      <w:pPr>
        <w:spacing w:after="0" w:line="32"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Balance at the end of the year</w:t>
      </w:r>
    </w:p>
    <w:p>
      <w:pPr>
        <w:spacing w:after="0" w:line="20" w:lineRule="exact"/>
        <w:rPr>
          <w:sz w:val="20"/>
          <w:szCs w:val="20"/>
          <w:color w:val="auto"/>
        </w:rPr>
      </w:pPr>
      <w:r>
        <w:rPr>
          <w:sz w:val="20"/>
          <w:szCs w:val="20"/>
          <w:color w:val="auto"/>
        </w:rPr>
        <w:br w:type="column"/>
      </w:r>
    </w:p>
    <w:p>
      <w:pPr>
        <w:spacing w:after="0" w:line="1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560"/>
              <w:spacing w:after="0"/>
              <w:rPr>
                <w:sz w:val="20"/>
                <w:szCs w:val="20"/>
                <w:color w:val="auto"/>
              </w:rPr>
            </w:pPr>
            <w:r>
              <w:rPr>
                <w:rFonts w:ascii="Arial" w:cs="Arial" w:eastAsia="Arial" w:hAnsi="Arial"/>
                <w:sz w:val="18"/>
                <w:szCs w:val="18"/>
                <w:b w:val="1"/>
                <w:bCs w:val="1"/>
                <w:color w:val="auto"/>
              </w:rPr>
              <w:t>September 30,</w:t>
            </w:r>
          </w:p>
        </w:tc>
        <w:tc>
          <w:tcPr>
            <w:tcW w:w="1580" w:type="dxa"/>
            <w:vAlign w:val="bottom"/>
          </w:tcPr>
          <w:p>
            <w:pPr>
              <w:jc w:val="right"/>
              <w:ind w:right="17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r>
      <w:tr>
        <w:trPr>
          <w:trHeight w:val="195"/>
        </w:trPr>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320" w:type="dxa"/>
            <w:vAlign w:val="bottom"/>
          </w:tcPr>
          <w:p>
            <w:pPr>
              <w:spacing w:after="0"/>
              <w:rPr>
                <w:sz w:val="16"/>
                <w:szCs w:val="16"/>
                <w:color w:val="auto"/>
              </w:rPr>
            </w:pPr>
          </w:p>
        </w:tc>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r>
      <w:tr>
        <w:trPr>
          <w:trHeight w:val="216"/>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95,844</w:t>
            </w:r>
          </w:p>
        </w:tc>
        <w:tc>
          <w:tcPr>
            <w:tcW w:w="1580" w:type="dxa"/>
            <w:vAlign w:val="bottom"/>
          </w:tcPr>
          <w:p>
            <w:pPr>
              <w:jc w:val="right"/>
              <w:spacing w:after="0"/>
              <w:rPr>
                <w:sz w:val="20"/>
                <w:szCs w:val="20"/>
                <w:color w:val="auto"/>
              </w:rPr>
            </w:pPr>
            <w:r>
              <w:rPr>
                <w:rFonts w:ascii="Arial" w:cs="Arial" w:eastAsia="Arial" w:hAnsi="Arial"/>
                <w:sz w:val="18"/>
                <w:szCs w:val="18"/>
                <w:color w:val="auto"/>
              </w:rPr>
              <w:t>95,844</w:t>
            </w: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95,844</w:t>
            </w:r>
          </w:p>
        </w:tc>
        <w:tc>
          <w:tcPr>
            <w:tcW w:w="3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95,844</w:t>
            </w: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-4858385</wp:posOffset>
            </wp:positionH>
            <wp:positionV relativeFrom="paragraph">
              <wp:posOffset>-599440</wp:posOffset>
            </wp:positionV>
            <wp:extent cx="7132320" cy="13716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-4858385</wp:posOffset>
            </wp:positionH>
            <wp:positionV relativeFrom="paragraph">
              <wp:posOffset>-325120</wp:posOffset>
            </wp:positionV>
            <wp:extent cx="7132320" cy="1460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6940" w:space="720"/>
            <w:col w:w="3580"/>
          </w:cols>
          <w:pgMar w:left="320" w:top="800" w:right="339" w:bottom="1440" w:gutter="0" w:footer="0" w:header="0"/>
          <w:type w:val="continuous"/>
        </w:sect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25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type w:val="continuous"/>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PRC Withholding Tax on Dividends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current PRC Enterprise Income Tax Law imposes a 10% withholding income tax for dividends distributed by foreign-invested enterprises to their immediate holding companies outside the PRC. A lower withholding tax rate will be applied if there is a tax treaty arrangement between the PRC and the jurisdiction of the foreign holding company. Distributions to holding companies in Hong Kong that satisfy certain requirements specified by PRC tax authorities, for example, will be subject to a 5% withholding tax rate.</w:t>
      </w:r>
    </w:p>
    <w:p>
      <w:pPr>
        <w:spacing w:after="0" w:line="187"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As of December 31, 2022, the Company had not recorded any withholding tax on the retained earnings of its foreign-invested enterprises in the PRC, since the Company had intended to reinvest its earnings to potentially continue its business in mainland China, namely the manufacturing of the RASs through GZ GST, and its foreign-invested enterprises do not intend to declare dividends to their immediate foreign holding companies.</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September 30, 2023, the Company had not recorded any withholding tax on the retained earnings of its foreign-invested enterprises in the PRC, and the Company decided not to reinvest its earnings since it is not continuing its business in mainland China, and its foreign-invested enterprises do not intend to declare dividends to their immediate foreign holding companies.</w:t>
      </w:r>
    </w:p>
    <w:p>
      <w:pPr>
        <w:sectPr>
          <w:pgSz w:w="11900" w:h="16838" w:orient="portrait"/>
          <w:cols w:equalWidth="0" w:num="1">
            <w:col w:w="11240"/>
          </w:cols>
          <w:pgMar w:left="320" w:top="796" w:right="339" w:bottom="1440" w:gutter="0" w:footer="0" w:header="0"/>
        </w:sectPr>
      </w:pPr>
    </w:p>
    <w:p>
      <w:pPr>
        <w:spacing w:after="0" w:line="396"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14</w:t>
      </w:r>
      <w:r>
        <w:rPr>
          <w:sz w:val="20"/>
          <w:szCs w:val="20"/>
          <w:color w:val="auto"/>
        </w:rPr>
        <w:tab/>
      </w:r>
      <w:r>
        <w:rPr>
          <w:rFonts w:ascii="Arial" w:cs="Arial" w:eastAsia="Arial" w:hAnsi="Arial"/>
          <w:sz w:val="17"/>
          <w:szCs w:val="17"/>
          <w:b w:val="1"/>
          <w:bCs w:val="1"/>
          <w:color w:val="auto"/>
        </w:rPr>
        <w:t>RELATED PARTY BALANCES AND TRANSACTIONS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Due to related parties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balance due to related parties was as follows: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color w:val="auto"/>
        </w:rPr>
        <w:t>Mr. Yin-Chieh Cheng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Mountain Share Transfer, LLC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25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0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September 30,</w:t>
            </w:r>
          </w:p>
        </w:tc>
        <w:tc>
          <w:tcPr>
            <w:tcW w:w="1600" w:type="dxa"/>
            <w:vAlign w:val="bottom"/>
            <w:gridSpan w:val="2"/>
          </w:tcPr>
          <w:p>
            <w:pPr>
              <w:ind w:left="2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r>
      <w:tr>
        <w:trPr>
          <w:trHeight w:val="195"/>
        </w:trPr>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320" w:type="dxa"/>
            <w:vAlign w:val="bottom"/>
          </w:tcPr>
          <w:p>
            <w:pPr>
              <w:spacing w:after="0"/>
              <w:rPr>
                <w:sz w:val="16"/>
                <w:szCs w:val="16"/>
                <w:color w:val="auto"/>
              </w:rPr>
            </w:pPr>
          </w:p>
        </w:tc>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6"/>
                <w:szCs w:val="16"/>
                <w:color w:val="auto"/>
              </w:rPr>
            </w:pP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6,603</w:t>
            </w:r>
          </w:p>
        </w:tc>
        <w:tc>
          <w:tcPr>
            <w:tcW w:w="1580" w:type="dxa"/>
            <w:vAlign w:val="bottom"/>
          </w:tcPr>
          <w:p>
            <w:pPr>
              <w:jc w:val="right"/>
              <w:spacing w:after="0"/>
              <w:rPr>
                <w:sz w:val="20"/>
                <w:szCs w:val="20"/>
                <w:color w:val="auto"/>
              </w:rPr>
            </w:pPr>
            <w:r>
              <w:rPr>
                <w:rFonts w:ascii="Arial" w:cs="Arial" w:eastAsia="Arial" w:hAnsi="Arial"/>
                <w:sz w:val="18"/>
                <w:szCs w:val="18"/>
                <w:color w:val="auto"/>
              </w:rPr>
              <w:t>11,238</w:t>
            </w:r>
          </w:p>
        </w:tc>
        <w:tc>
          <w:tcPr>
            <w:tcW w:w="20" w:type="dxa"/>
            <w:vAlign w:val="bottom"/>
          </w:tcPr>
          <w:p>
            <w:pPr>
              <w:spacing w:after="0"/>
              <w:rPr>
                <w:sz w:val="19"/>
                <w:szCs w:val="19"/>
                <w:color w:val="auto"/>
              </w:rPr>
            </w:pPr>
          </w:p>
        </w:tc>
      </w:tr>
      <w:tr>
        <w:trPr>
          <w:trHeight w:val="230"/>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7,681</w:t>
            </w:r>
          </w:p>
        </w:tc>
        <w:tc>
          <w:tcPr>
            <w:tcW w:w="1580" w:type="dxa"/>
            <w:vAlign w:val="bottom"/>
          </w:tcPr>
          <w:p>
            <w:pPr>
              <w:jc w:val="right"/>
              <w:spacing w:after="0"/>
              <w:rPr>
                <w:sz w:val="20"/>
                <w:szCs w:val="20"/>
                <w:color w:val="auto"/>
              </w:rPr>
            </w:pPr>
            <w:r>
              <w:rPr>
                <w:rFonts w:ascii="Arial" w:cs="Arial" w:eastAsia="Arial" w:hAnsi="Arial"/>
                <w:sz w:val="18"/>
                <w:szCs w:val="18"/>
                <w:color w:val="auto"/>
              </w:rPr>
              <w:t>7,681</w:t>
            </w:r>
          </w:p>
        </w:tc>
        <w:tc>
          <w:tcPr>
            <w:tcW w:w="20" w:type="dxa"/>
            <w:vAlign w:val="bottom"/>
          </w:tcPr>
          <w:p>
            <w:pPr>
              <w:spacing w:after="0"/>
              <w:rPr>
                <w:sz w:val="20"/>
                <w:szCs w:val="20"/>
                <w:color w:val="auto"/>
              </w:rPr>
            </w:pPr>
          </w:p>
        </w:tc>
      </w:tr>
      <w:tr>
        <w:trPr>
          <w:trHeight w:val="223"/>
        </w:trPr>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17,130</w:t>
            </w:r>
          </w:p>
        </w:tc>
        <w:tc>
          <w:tcPr>
            <w:tcW w:w="3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18,919</w:t>
            </w:r>
          </w:p>
        </w:tc>
        <w:tc>
          <w:tcPr>
            <w:tcW w:w="20" w:type="dxa"/>
            <w:vAlign w:val="bottom"/>
            <w:tcBorders>
              <w:bottom w:val="single" w:sz="8" w:color="auto"/>
            </w:tcBorders>
          </w:tcPr>
          <w:p>
            <w:pPr>
              <w:spacing w:after="0"/>
              <w:rPr>
                <w:sz w:val="19"/>
                <w:szCs w:val="19"/>
                <w:color w:val="auto"/>
              </w:rPr>
            </w:pP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940" w:space="720"/>
            <w:col w:w="3580"/>
          </w:cols>
          <w:pgMar w:left="320" w:top="796" w:right="339" w:bottom="1440" w:gutter="0" w:footer="0" w:header="0"/>
          <w:type w:val="continuous"/>
        </w:sectPr>
      </w:pP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960" w:type="dxa"/>
            <w:vAlign w:val="bottom"/>
          </w:tcPr>
          <w:p>
            <w:pPr>
              <w:spacing w:after="0"/>
              <w:rPr>
                <w:sz w:val="20"/>
                <w:szCs w:val="20"/>
                <w:color w:val="auto"/>
              </w:rPr>
            </w:pPr>
            <w:r>
              <w:rPr>
                <w:rFonts w:ascii="Arial" w:cs="Arial" w:eastAsia="Arial" w:hAnsi="Arial"/>
                <w:sz w:val="18"/>
                <w:szCs w:val="18"/>
                <w:b w:val="1"/>
                <w:bCs w:val="1"/>
                <w:i w:val="1"/>
                <w:iCs w:val="1"/>
                <w:color w:val="auto"/>
              </w:rPr>
              <w:t>Sales</w:t>
            </w:r>
          </w:p>
        </w:tc>
        <w:tc>
          <w:tcPr>
            <w:tcW w:w="24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4960" w:type="dxa"/>
            <w:vAlign w:val="bottom"/>
          </w:tcPr>
          <w:p>
            <w:pPr>
              <w:spacing w:after="0"/>
              <w:rPr>
                <w:sz w:val="20"/>
                <w:szCs w:val="20"/>
                <w:color w:val="auto"/>
              </w:rPr>
            </w:pPr>
            <w:r>
              <w:rPr>
                <w:rFonts w:ascii="Arial" w:cs="Arial" w:eastAsia="Arial" w:hAnsi="Arial"/>
                <w:sz w:val="18"/>
                <w:szCs w:val="18"/>
                <w:color w:val="auto"/>
              </w:rPr>
              <w:t>The balance of sales with a related party was as following:</w:t>
            </w:r>
          </w:p>
        </w:tc>
        <w:tc>
          <w:tcPr>
            <w:tcW w:w="2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14"/>
        </w:trPr>
        <w:tc>
          <w:tcPr>
            <w:tcW w:w="4960" w:type="dxa"/>
            <w:vAlign w:val="bottom"/>
          </w:tcPr>
          <w:p>
            <w:pPr>
              <w:spacing w:after="0"/>
              <w:rPr>
                <w:sz w:val="24"/>
                <w:szCs w:val="24"/>
                <w:color w:val="auto"/>
              </w:rPr>
            </w:pPr>
          </w:p>
        </w:tc>
        <w:tc>
          <w:tcPr>
            <w:tcW w:w="24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90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September 30,</w:t>
            </w:r>
          </w:p>
        </w:tc>
        <w:tc>
          <w:tcPr>
            <w:tcW w:w="1780" w:type="dxa"/>
            <w:vAlign w:val="bottom"/>
            <w:gridSpan w:val="3"/>
          </w:tcPr>
          <w:p>
            <w:pPr>
              <w:ind w:left="2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960" w:type="dxa"/>
            <w:vAlign w:val="bottom"/>
          </w:tcPr>
          <w:p>
            <w:pPr>
              <w:spacing w:after="0"/>
              <w:rPr>
                <w:sz w:val="20"/>
                <w:szCs w:val="20"/>
                <w:color w:val="auto"/>
              </w:rPr>
            </w:pPr>
          </w:p>
        </w:tc>
        <w:tc>
          <w:tcPr>
            <w:tcW w:w="26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Related Party Categories</w:t>
            </w: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680" w:type="dxa"/>
            <w:vAlign w:val="bottom"/>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4960" w:type="dxa"/>
            <w:vAlign w:val="bottom"/>
          </w:tcPr>
          <w:p>
            <w:pPr>
              <w:spacing w:after="0"/>
              <w:rPr>
                <w:sz w:val="18"/>
                <w:szCs w:val="18"/>
                <w:color w:val="auto"/>
              </w:rPr>
            </w:pPr>
          </w:p>
        </w:tc>
        <w:tc>
          <w:tcPr>
            <w:tcW w:w="248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8"/>
                <w:szCs w:val="18"/>
                <w:color w:val="auto"/>
              </w:rPr>
            </w:pPr>
          </w:p>
        </w:tc>
        <w:tc>
          <w:tcPr>
            <w:tcW w:w="168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(Audited)</w:t>
            </w:r>
          </w:p>
        </w:tc>
        <w:tc>
          <w:tcPr>
            <w:tcW w:w="100" w:type="dxa"/>
            <w:vAlign w:val="bottom"/>
            <w:gridSpan w:val="2"/>
          </w:tcPr>
          <w:p>
            <w:pPr>
              <w:spacing w:after="0"/>
              <w:rPr>
                <w:sz w:val="18"/>
                <w:szCs w:val="18"/>
                <w:color w:val="auto"/>
              </w:rPr>
            </w:pPr>
          </w:p>
        </w:tc>
      </w:tr>
      <w:tr>
        <w:trPr>
          <w:trHeight w:val="209"/>
        </w:trPr>
        <w:tc>
          <w:tcPr>
            <w:tcW w:w="4960" w:type="dxa"/>
            <w:vAlign w:val="bottom"/>
          </w:tcPr>
          <w:p>
            <w:pPr>
              <w:spacing w:after="0"/>
              <w:rPr>
                <w:sz w:val="18"/>
                <w:szCs w:val="18"/>
                <w:color w:val="auto"/>
              </w:rPr>
            </w:pPr>
          </w:p>
        </w:tc>
        <w:tc>
          <w:tcPr>
            <w:tcW w:w="2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tcPr>
          <w:p>
            <w:pPr>
              <w:jc w:val="right"/>
              <w:ind w:right="69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4960" w:type="dxa"/>
            <w:vAlign w:val="bottom"/>
            <w:shd w:val="clear" w:color="auto" w:fill="EEEEEE"/>
          </w:tcPr>
          <w:p>
            <w:pPr>
              <w:spacing w:after="0"/>
              <w:rPr>
                <w:sz w:val="20"/>
                <w:szCs w:val="20"/>
                <w:color w:val="auto"/>
              </w:rPr>
            </w:pPr>
            <w:r>
              <w:rPr>
                <w:rFonts w:ascii="Arial" w:cs="Arial" w:eastAsia="Arial" w:hAnsi="Arial"/>
                <w:sz w:val="18"/>
                <w:szCs w:val="18"/>
                <w:color w:val="auto"/>
              </w:rPr>
              <w:t>Grand Smooth Corporation Limited (3)</w:t>
            </w:r>
          </w:p>
        </w:tc>
        <w:tc>
          <w:tcPr>
            <w:tcW w:w="2600" w:type="dxa"/>
            <w:vAlign w:val="bottom"/>
            <w:gridSpan w:val="2"/>
            <w:shd w:val="clear" w:color="auto" w:fill="EEEEEE"/>
          </w:tcPr>
          <w:p>
            <w:pPr>
              <w:jc w:val="center"/>
              <w:ind w:right="120"/>
              <w:spacing w:after="0"/>
              <w:rPr>
                <w:sz w:val="20"/>
                <w:szCs w:val="20"/>
                <w:color w:val="auto"/>
              </w:rPr>
            </w:pPr>
            <w:r>
              <w:rPr>
                <w:rFonts w:ascii="Arial" w:cs="Arial" w:eastAsia="Arial" w:hAnsi="Arial"/>
                <w:sz w:val="18"/>
                <w:szCs w:val="18"/>
                <w:color w:val="auto"/>
                <w:w w:val="89"/>
              </w:rPr>
              <w:t>Same director</w:t>
            </w:r>
          </w:p>
        </w:tc>
        <w:tc>
          <w:tcPr>
            <w:tcW w:w="19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388,757</w:t>
            </w:r>
          </w:p>
        </w:tc>
        <w:tc>
          <w:tcPr>
            <w:tcW w:w="17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993,981</w:t>
            </w:r>
          </w:p>
        </w:tc>
        <w:tc>
          <w:tcPr>
            <w:tcW w:w="80" w:type="dxa"/>
            <w:vAlign w:val="bottom"/>
            <w:shd w:val="clear" w:color="auto" w:fill="EEEEEE"/>
          </w:tcPr>
          <w:p>
            <w:pPr>
              <w:spacing w:after="0"/>
              <w:rPr>
                <w:sz w:val="18"/>
                <w:szCs w:val="18"/>
                <w:color w:val="auto"/>
              </w:rPr>
            </w:pPr>
          </w:p>
        </w:tc>
      </w:tr>
      <w:tr>
        <w:trPr>
          <w:trHeight w:val="209"/>
        </w:trPr>
        <w:tc>
          <w:tcPr>
            <w:tcW w:w="4960" w:type="dxa"/>
            <w:vAlign w:val="bottom"/>
          </w:tcPr>
          <w:p>
            <w:pPr>
              <w:spacing w:after="0"/>
              <w:rPr>
                <w:sz w:val="20"/>
                <w:szCs w:val="20"/>
                <w:color w:val="auto"/>
              </w:rPr>
            </w:pPr>
            <w:r>
              <w:rPr>
                <w:rFonts w:ascii="Arial" w:cs="Arial" w:eastAsia="Arial" w:hAnsi="Arial"/>
                <w:sz w:val="18"/>
                <w:szCs w:val="18"/>
                <w:b w:val="1"/>
                <w:bCs w:val="1"/>
                <w:color w:val="auto"/>
              </w:rPr>
              <w:t>Total</w:t>
            </w:r>
          </w:p>
        </w:tc>
        <w:tc>
          <w:tcPr>
            <w:tcW w:w="2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388,757</w:t>
            </w:r>
          </w:p>
        </w:tc>
        <w:tc>
          <w:tcPr>
            <w:tcW w:w="220" w:type="dxa"/>
            <w:vAlign w:val="bottom"/>
          </w:tcPr>
          <w:p>
            <w:pPr>
              <w:spacing w:after="0"/>
              <w:rPr>
                <w:sz w:val="18"/>
                <w:szCs w:val="18"/>
                <w:color w:val="auto"/>
              </w:rPr>
            </w:pPr>
          </w:p>
        </w:tc>
        <w:tc>
          <w:tcPr>
            <w:tcW w:w="16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993,981</w:t>
            </w:r>
          </w:p>
        </w:tc>
        <w:tc>
          <w:tcPr>
            <w:tcW w:w="20" w:type="dxa"/>
            <w:vAlign w:val="bottom"/>
            <w:tcBorders>
              <w:bottom w:val="single" w:sz="8" w:color="auto"/>
            </w:tcBorders>
          </w:tcPr>
          <w:p>
            <w:pPr>
              <w:spacing w:after="0"/>
              <w:rPr>
                <w:sz w:val="18"/>
                <w:szCs w:val="18"/>
                <w:color w:val="auto"/>
              </w:rPr>
            </w:pPr>
          </w:p>
        </w:tc>
        <w:tc>
          <w:tcPr>
            <w:tcW w:w="80" w:type="dxa"/>
            <w:vAlign w:val="bottom"/>
          </w:tcPr>
          <w:p>
            <w:pPr>
              <w:spacing w:after="0"/>
              <w:rPr>
                <w:sz w:val="18"/>
                <w:szCs w:val="18"/>
                <w:color w:val="auto"/>
              </w:rPr>
            </w:pPr>
          </w:p>
        </w:tc>
      </w:tr>
      <w:tr>
        <w:trPr>
          <w:trHeight w:val="20"/>
        </w:trPr>
        <w:tc>
          <w:tcPr>
            <w:tcW w:w="4960" w:type="dxa"/>
            <w:vAlign w:val="bottom"/>
          </w:tcPr>
          <w:p>
            <w:pPr>
              <w:spacing w:after="0" w:line="20" w:lineRule="exact"/>
              <w:rPr>
                <w:sz w:val="1"/>
                <w:szCs w:val="1"/>
                <w:color w:val="auto"/>
              </w:rPr>
            </w:pPr>
          </w:p>
        </w:tc>
        <w:tc>
          <w:tcPr>
            <w:tcW w:w="2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right="20"/>
        <w:spacing w:after="0" w:line="271" w:lineRule="auto"/>
        <w:rPr>
          <w:sz w:val="20"/>
          <w:szCs w:val="20"/>
          <w:color w:val="auto"/>
        </w:rPr>
      </w:pPr>
      <w:r>
        <w:rPr>
          <w:rFonts w:ascii="Arial" w:cs="Arial" w:eastAsia="Arial" w:hAnsi="Arial"/>
          <w:sz w:val="18"/>
          <w:szCs w:val="18"/>
          <w:color w:val="auto"/>
        </w:rPr>
        <w:t>The sales prices and payment terms to related parties were not significantly different from those of sales to third parties. For other related party transactions, price and terms were determined in accordance with mutual agreements. Note:</w:t>
      </w:r>
    </w:p>
    <w:p>
      <w:pPr>
        <w:spacing w:after="0" w:line="397" w:lineRule="exact"/>
        <w:rPr>
          <w:sz w:val="20"/>
          <w:szCs w:val="20"/>
          <w:color w:val="auto"/>
        </w:rPr>
      </w:pPr>
    </w:p>
    <w:p>
      <w:pPr>
        <w:ind w:left="340" w:right="100" w:hanging="332"/>
        <w:spacing w:after="0" w:line="277"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Mr. Yin-Chieh Cheng (“Mr. Cheng”) was the chairman the Company, and he holds 36.4% shares of the Company. The balance due to Mr. Cheng as of September 30, 2023 mainly represented the amount paid by Mr. Cheng on behalf of the Company.</w:t>
      </w:r>
    </w:p>
    <w:p>
      <w:pPr>
        <w:spacing w:after="0" w:line="170"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Mountain Share Transfer, LLC is company 100% controlled by Erik S. Nelson, a stockholder of the Company. The balances represented the amount paid on behalf of the Company for its daily operation purpose.</w:t>
      </w:r>
    </w:p>
    <w:p>
      <w:pPr>
        <w:spacing w:after="0" w:line="170"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3"/>
        </w:numPr>
        <w:rPr>
          <w:rFonts w:ascii="Arial" w:cs="Arial" w:eastAsia="Arial" w:hAnsi="Arial"/>
          <w:sz w:val="18"/>
          <w:szCs w:val="18"/>
          <w:color w:val="auto"/>
        </w:rPr>
      </w:pPr>
      <w:r>
        <w:rPr>
          <w:rFonts w:ascii="Arial" w:cs="Arial" w:eastAsia="Arial" w:hAnsi="Arial"/>
          <w:sz w:val="18"/>
          <w:szCs w:val="18"/>
          <w:color w:val="auto"/>
        </w:rPr>
        <w:t>Grand Smooth Corporation Limited's chairman is Mr. Yin-Chieh Cheng ("Mr. Cheng") same with Company. Grand Smooth Corporation Limited will purchase goods from Company and re-sell it. All the terms were not significantly different from those of sales to third parties.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23" w:name="page24"/>
    <w:bookmarkEnd w:id="23"/>
    <w:p>
      <w:pPr>
        <w:spacing w:after="0"/>
        <w:rPr>
          <w:sz w:val="20"/>
          <w:szCs w:val="20"/>
          <w:color w:val="auto"/>
        </w:rPr>
      </w:pPr>
      <w:r>
        <w:rPr>
          <w:rFonts w:ascii="Arial" w:cs="Arial" w:eastAsia="Arial" w:hAnsi="Arial"/>
          <w:sz w:val="18"/>
          <w:szCs w:val="18"/>
          <w:b w:val="1"/>
          <w:bCs w:val="1"/>
          <w:color w:val="auto"/>
        </w:rPr>
        <w:t>Note 15  COMMON STOCK</w:t>
      </w:r>
    </w:p>
    <w:p>
      <w:pPr>
        <w:spacing w:after="0" w:line="229"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Company’s authorized number of common stock is 200,000,000 shares with par value of $0.001 each. On August 11, 2022, the Company effected a 2:3 reverse stock split for each share of common stock issued and outstanding. As a result of reverse stock split, the Company’s common stock issued and outstanding decreased from 10,707,150 shares to 7,138,587 shares. All shares and associated amounts have been retroactively restated to reflect the stock split on August 11, 2022. As of September 30, 2023 and December 31, 2022, issued common stock were 10,019,295 shares and 9,243,587, respectively.</w:t>
      </w:r>
    </w:p>
    <w:p>
      <w:pPr>
        <w:spacing w:after="0" w:line="15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August 11, 2022, the Company’s common stock commenced trading on The Nasdaq Capital Market under the symbol “NCRA” on a post-reverse stock split basis. During the public offering, 1,880,000 common stocks, at par value $0.001 each, were issued at the offering price $3.50 per share. The Company received total gross proceeds of $6.58 million from the public offering and after deducting the underwriting commissions, discounts and offering expenses, the Company received net proceeds of approximately $5.3 million.</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All number of shares, share amounts and per share data presented in the accompanying unaudited consolidated financial statements and related notes have been retroactively restated to reflect the reverse merger transaction and subsequent issuance of shares stated above, except for authorized shares of common stock, which were not affected.</w:t>
      </w:r>
    </w:p>
    <w:p>
      <w:pPr>
        <w:spacing w:after="0" w:line="18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16</w:t>
      </w:r>
      <w:r>
        <w:rPr>
          <w:sz w:val="20"/>
          <w:szCs w:val="20"/>
          <w:color w:val="auto"/>
        </w:rPr>
        <w:tab/>
      </w:r>
      <w:r>
        <w:rPr>
          <w:rFonts w:ascii="Arial" w:cs="Arial" w:eastAsia="Arial" w:hAnsi="Arial"/>
          <w:sz w:val="17"/>
          <w:szCs w:val="17"/>
          <w:b w:val="1"/>
          <w:bCs w:val="1"/>
          <w:color w:val="auto"/>
        </w:rPr>
        <w:t>SHARE-BASED COMPENSATION</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December 27, 2018, Nocera granted Mr. Yin-Chieh Cheng quarterly option awards of 250,000 Series A warrants for 20 quarters (5 years) for a total of 5,000,000 Series A warrants with an exercise price of $0.50 per share, subject to continued employment for services as Chairman of the Board of Directors (“Board”) and a Director. The Series A warrants held by Jeff Cheng did not achieve complete vesting as a result of his employment being terminated. A total of 2,333,334 Series A warrants did vest according to the terms.</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June 1, 2020, Nocera granted Mr. Shun-Chih Chuang and Mr. Hsien-Wen Yu 50,000 shares of Class A warrants and 60,000 shares of Class A warrants separately, each with an exercise price of $0.50 per share, for serving as the Company’s Chief Financial Officer and Chief Operating Officer, respectively. The Company also granted 2 employees 50,000 shares of Class A warrants with an exercise price of $0.50 per share. The Class A warrants consist of the right to purchase one share for $0.50 per share from the date of issuance until April 23, 2026.</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June 1, 2020, Nocera granted Mr. Michael A. Littman 50,000 shares of Class A warrants with an exercise price of $0.50 per share and 50,000 shares of Class B warrants with exercise price of $1.00 per share. Mr. Littman exercised 50,000 shares of Class A warrants and 50,000 shares of Class B warrants on August 11, 2021. The Class B warrants consist of the right to purchase one share for $1.00 per share separately from the date of issuance until April 23, 2026.</w:t>
      </w:r>
    </w:p>
    <w:p>
      <w:pPr>
        <w:spacing w:after="0" w:line="18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On December 1, 2021, Nocera granted Mr. Shun-Chih Chuang and Mr. Hsien-Wen Yu 75,000 shares of Class A warrants and 60,000 shares of Class A warrants separately, each with an exercise price of $0.50 per share, for serving as the Company’s Chief Financial Officer and Chief Operating Officer, respectively. The Company also granted 2 employees 70,000 shares of Class A warrant with an exercise price of $0.50 per share.</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December 31, 2022, the Company issued an aggregate of 505,000 shares of common stock to Mr. Shun-Chih Chuang and a total of five consultants in consideration for services rendered.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December 22, 2022, the Company issued 150,000 and 75,000 shares of common stock to Chen-Chun Chung and TraDigital respectively in consideration for services rendered.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March 22, 2023, the Company issued 450,000 shares of common stock to Hanover International, Inc. respectively in consideration for services rendered.</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24" w:name="page25"/>
    <w:bookmarkEnd w:id="24"/>
    <w:p>
      <w:pPr>
        <w:jc w:val="both"/>
        <w:spacing w:after="0" w:line="308" w:lineRule="auto"/>
        <w:rPr>
          <w:sz w:val="20"/>
          <w:szCs w:val="20"/>
          <w:color w:val="auto"/>
        </w:rPr>
      </w:pPr>
      <w:r>
        <w:rPr>
          <w:rFonts w:ascii="Arial" w:cs="Arial" w:eastAsia="Arial" w:hAnsi="Arial"/>
          <w:sz w:val="17"/>
          <w:szCs w:val="17"/>
          <w:color w:val="auto"/>
        </w:rPr>
        <w:t>On July 31, 2023, Nocera granted Mr. Andy Chin-An Jin 240,000 restricted shares of common stock, of which vests at the end of every three month period after July 31, 2023 in equal installments over the period of one year, subject to the employment for services as Chief Executive Officer.</w:t>
      </w:r>
    </w:p>
    <w:p>
      <w:pPr>
        <w:spacing w:after="0" w:line="14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October 11, 2023, the Company issued 20,000 shares of common stock to Mr. Nick Chang in consideration of service rendered as a consultant for three years.</w:t>
      </w:r>
    </w:p>
    <w:p>
      <w:pPr>
        <w:spacing w:after="0" w:line="1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August 11, 2022, the Company effected a 2:3 reverse stock split for each share of common stock issued and outstanding. The result of reverse stock split over the common stock issuable upon exercise of the following outstanding securities as of September 30, 2023 is listed below:</w:t>
      </w:r>
    </w:p>
    <w:p>
      <w:pPr>
        <w:spacing w:after="0" w:line="14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660" w:type="dxa"/>
            <w:vAlign w:val="bottom"/>
          </w:tcPr>
          <w:p>
            <w:pPr>
              <w:spacing w:after="0"/>
              <w:rPr>
                <w:sz w:val="18"/>
                <w:szCs w:val="18"/>
                <w:color w:val="auto"/>
              </w:rPr>
            </w:pPr>
          </w:p>
        </w:tc>
        <w:tc>
          <w:tcPr>
            <w:tcW w:w="190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September 30,</w:t>
            </w:r>
          </w:p>
        </w:tc>
        <w:tc>
          <w:tcPr>
            <w:tcW w:w="1680" w:type="dxa"/>
            <w:vAlign w:val="bottom"/>
            <w:gridSpan w:val="2"/>
          </w:tcPr>
          <w:p>
            <w:pPr>
              <w:ind w:left="2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7660" w:type="dxa"/>
            <w:vAlign w:val="bottom"/>
          </w:tcPr>
          <w:p>
            <w:pPr>
              <w:spacing w:after="0"/>
              <w:rPr>
                <w:sz w:val="20"/>
                <w:szCs w:val="20"/>
                <w:color w:val="auto"/>
              </w:rPr>
            </w:pPr>
          </w:p>
        </w:tc>
        <w:tc>
          <w:tcPr>
            <w:tcW w:w="158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10"/>
        </w:trPr>
        <w:tc>
          <w:tcPr>
            <w:tcW w:w="766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Dividend yield</w:t>
            </w:r>
          </w:p>
        </w:tc>
        <w:tc>
          <w:tcPr>
            <w:tcW w:w="190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N/A</w:t>
            </w:r>
          </w:p>
        </w:tc>
        <w:tc>
          <w:tcPr>
            <w:tcW w:w="1680" w:type="dxa"/>
            <w:vAlign w:val="bottom"/>
            <w:gridSpan w:val="2"/>
            <w:shd w:val="clear" w:color="auto" w:fill="EEEEEE"/>
          </w:tcPr>
          <w:p>
            <w:pPr>
              <w:ind w:left="1260"/>
              <w:spacing w:after="0"/>
              <w:rPr>
                <w:sz w:val="20"/>
                <w:szCs w:val="20"/>
                <w:color w:val="auto"/>
              </w:rPr>
            </w:pPr>
            <w:r>
              <w:rPr>
                <w:rFonts w:ascii="Arial" w:cs="Arial" w:eastAsia="Arial" w:hAnsi="Arial"/>
                <w:sz w:val="18"/>
                <w:szCs w:val="18"/>
                <w:color w:val="auto"/>
              </w:rPr>
              <w:t>N/A</w:t>
            </w: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Risk-free interest rate</w:t>
            </w:r>
          </w:p>
        </w:tc>
        <w:tc>
          <w:tcPr>
            <w:tcW w:w="1580" w:type="dxa"/>
            <w:vAlign w:val="bottom"/>
          </w:tcPr>
          <w:p>
            <w:pPr>
              <w:jc w:val="right"/>
              <w:spacing w:after="0"/>
              <w:rPr>
                <w:sz w:val="20"/>
                <w:szCs w:val="20"/>
                <w:color w:val="auto"/>
              </w:rPr>
            </w:pPr>
            <w:r>
              <w:rPr>
                <w:rFonts w:ascii="Arial" w:cs="Arial" w:eastAsia="Arial" w:hAnsi="Arial"/>
                <w:sz w:val="18"/>
                <w:szCs w:val="18"/>
                <w:color w:val="auto"/>
              </w:rPr>
              <w:t>1.16%</w:t>
            </w:r>
          </w:p>
        </w:tc>
        <w:tc>
          <w:tcPr>
            <w:tcW w:w="32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1.16%</w:t>
            </w: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Expected term (in years)</w:t>
            </w: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4.31</w:t>
            </w:r>
          </w:p>
        </w:tc>
        <w:tc>
          <w:tcPr>
            <w:tcW w:w="3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4.31</w:t>
            </w:r>
          </w:p>
        </w:tc>
      </w:tr>
      <w:tr>
        <w:trPr>
          <w:trHeight w:val="230"/>
        </w:trPr>
        <w:tc>
          <w:tcPr>
            <w:tcW w:w="7660" w:type="dxa"/>
            <w:vAlign w:val="bottom"/>
          </w:tcPr>
          <w:p>
            <w:pPr>
              <w:spacing w:after="0"/>
              <w:rPr>
                <w:sz w:val="20"/>
                <w:szCs w:val="20"/>
                <w:color w:val="auto"/>
              </w:rPr>
            </w:pPr>
            <w:r>
              <w:rPr>
                <w:rFonts w:ascii="Arial" w:cs="Arial" w:eastAsia="Arial" w:hAnsi="Arial"/>
                <w:sz w:val="18"/>
                <w:szCs w:val="18"/>
                <w:color w:val="auto"/>
              </w:rPr>
              <w:t>Volatility</w:t>
            </w:r>
          </w:p>
        </w:tc>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48.15%</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48.15%</w:t>
            </w:r>
          </w:p>
        </w:tc>
      </w:tr>
    </w:tbl>
    <w:p>
      <w:pPr>
        <w:spacing w:after="0" w:line="18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Company estimated the grant date fair value of time-based stock option awards using the Black-Scholes option valuation model, which requires assumptions involving an estimate of the fair value of the underlying common stock on the date of grant, the expected term of the options, volatility, discount rate and dividend yield. The Company calculated expected option terms based on the “simplified” method for “plain vanilla” options due to the limited exercise information. The “simplified method” calculates the expected term as the average of the vesting term and the original contractual term of the options. The Company calculated volatility using the average adjusted volatility of quick companies feature of Capital IQ for a period of time reflective of the expected option term, while the discount rate was estimated using the interest rate for a treasury note with the same contractual term as the options granted. Dividend yield is estimated at our current dividend rate, which adjusts for any known future changes in the rate.</w:t>
      </w:r>
    </w:p>
    <w:p>
      <w:pPr>
        <w:spacing w:after="0" w:line="17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For the nine months ended September 30, 2023 and year ended December 31, 2022, $148,288 and $6,638,371 share-based compensation expenses was recognized into additional paid-in capital of the Company, respectively.</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December 31, 2022, total unrecognized compensation cost related to unvested share-based compensation awards was $11,114,097. This amount is expected to be recognized as stock-based compensation expense in the Company’s consolidated statements of operations and comprehensive income over the remaining vesting period of 1.99 years.</w:t>
      </w:r>
    </w:p>
    <w:p>
      <w:pPr>
        <w:spacing w:after="0" w:line="18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17</w:t>
      </w:r>
      <w:r>
        <w:rPr>
          <w:sz w:val="20"/>
          <w:szCs w:val="20"/>
          <w:color w:val="auto"/>
        </w:rPr>
        <w:tab/>
      </w:r>
      <w:r>
        <w:rPr>
          <w:rFonts w:ascii="Arial" w:cs="Arial" w:eastAsia="Arial" w:hAnsi="Arial"/>
          <w:sz w:val="17"/>
          <w:szCs w:val="17"/>
          <w:b w:val="1"/>
          <w:bCs w:val="1"/>
          <w:color w:val="auto"/>
        </w:rPr>
        <w:t>PREFERRED STOCK</w:t>
      </w:r>
    </w:p>
    <w:p>
      <w:pPr>
        <w:spacing w:after="0" w:line="229"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In August 2021, the Company issued 80,000 shares of preferred shares of $1.00 each at an issue price of $2.50 per share to certain investors credited as fully paid. The preferred shares are non-voting and non-redeemable. The holder of the preferred shares will have priority over the holders of ordinary shares of the Company on the assets and funds of the Company available for distribution in a distribution of assets on liquidation, winding up or dissolution of the Company. The holder of the preferred shares shall not have the right to attend or vote at any general meeting of the Company (except a general meeting for winding up of the Company or a resolution is to be proposed which if passed would vary or abrogate the rights or privileges of such holder).</w:t>
      </w:r>
    </w:p>
    <w:p>
      <w:pPr>
        <w:spacing w:after="0" w:line="161"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August 11, 2022, the Company effected a 2:3 reverse stock split for each share of common stock issued and outstanding. As a result of reverse stock split, the shares of common stock issuable upon the conversion of Series A Preferred Stock decreased from 80,000 shares to 53,334 shares.</w:t>
      </w:r>
    </w:p>
    <w:p>
      <w:pPr>
        <w:spacing w:after="0" w:line="200" w:lineRule="exact"/>
        <w:rPr>
          <w:sz w:val="20"/>
          <w:szCs w:val="20"/>
          <w:color w:val="auto"/>
        </w:rPr>
      </w:pPr>
    </w:p>
    <w:p>
      <w:pPr>
        <w:spacing w:after="0" w:line="37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92" w:right="339" w:bottom="1440" w:gutter="0" w:footer="0" w:header="0"/>
        </w:sectPr>
      </w:pPr>
    </w:p>
    <w:bookmarkStart w:id="25" w:name="page26"/>
    <w:bookmarkEnd w:id="25"/>
    <w:p>
      <w:pPr>
        <w:spacing w:after="0"/>
        <w:tabs>
          <w:tab w:leader="none" w:pos="760" w:val="left"/>
        </w:tabs>
        <w:rPr>
          <w:sz w:val="20"/>
          <w:szCs w:val="20"/>
          <w:color w:val="auto"/>
        </w:rPr>
      </w:pPr>
      <w:r>
        <w:rPr>
          <w:rFonts w:ascii="Arial" w:cs="Arial" w:eastAsia="Arial" w:hAnsi="Arial"/>
          <w:sz w:val="18"/>
          <w:szCs w:val="18"/>
          <w:b w:val="1"/>
          <w:bCs w:val="1"/>
          <w:color w:val="auto"/>
        </w:rPr>
        <w:t>Note 18</w:t>
      </w:r>
      <w:r>
        <w:rPr>
          <w:sz w:val="20"/>
          <w:szCs w:val="20"/>
          <w:color w:val="auto"/>
        </w:rPr>
        <w:tab/>
      </w:r>
      <w:r>
        <w:rPr>
          <w:rFonts w:ascii="Arial" w:cs="Arial" w:eastAsia="Arial" w:hAnsi="Arial"/>
          <w:sz w:val="17"/>
          <w:szCs w:val="17"/>
          <w:b w:val="1"/>
          <w:bCs w:val="1"/>
          <w:color w:val="auto"/>
        </w:rPr>
        <w:t>LOSS PER SHARE</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following table sets forth the computation of basic and diluted (loss) income per common share for the three and nine months ended September 30, 2023 and 2022.</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740" w:type="dxa"/>
            <w:vAlign w:val="bottom"/>
          </w:tcPr>
          <w:p>
            <w:pPr>
              <w:spacing w:after="0"/>
              <w:rPr>
                <w:sz w:val="18"/>
                <w:szCs w:val="18"/>
                <w:color w:val="auto"/>
              </w:rPr>
            </w:pPr>
          </w:p>
        </w:tc>
        <w:tc>
          <w:tcPr>
            <w:tcW w:w="3400" w:type="dxa"/>
            <w:vAlign w:val="bottom"/>
            <w:gridSpan w:val="5"/>
          </w:tcPr>
          <w:p>
            <w:pPr>
              <w:jc w:val="center"/>
              <w:ind w:right="320"/>
              <w:spacing w:after="0"/>
              <w:rPr>
                <w:sz w:val="20"/>
                <w:szCs w:val="20"/>
                <w:color w:val="auto"/>
              </w:rPr>
            </w:pPr>
            <w:r>
              <w:rPr>
                <w:rFonts w:ascii="Arial" w:cs="Arial" w:eastAsia="Arial" w:hAnsi="Arial"/>
                <w:sz w:val="18"/>
                <w:szCs w:val="18"/>
                <w:b w:val="1"/>
                <w:bCs w:val="1"/>
                <w:color w:val="auto"/>
                <w:w w:val="89"/>
              </w:rPr>
              <w:t>For three months ended</w:t>
            </w:r>
          </w:p>
        </w:tc>
        <w:tc>
          <w:tcPr>
            <w:tcW w:w="3100" w:type="dxa"/>
            <w:vAlign w:val="bottom"/>
            <w:gridSpan w:val="5"/>
          </w:tcPr>
          <w:p>
            <w:pPr>
              <w:jc w:val="center"/>
              <w:ind w:right="120"/>
              <w:spacing w:after="0"/>
              <w:rPr>
                <w:sz w:val="20"/>
                <w:szCs w:val="20"/>
                <w:color w:val="auto"/>
              </w:rPr>
            </w:pPr>
            <w:r>
              <w:rPr>
                <w:rFonts w:ascii="Arial" w:cs="Arial" w:eastAsia="Arial" w:hAnsi="Arial"/>
                <w:sz w:val="18"/>
                <w:szCs w:val="18"/>
                <w:b w:val="1"/>
                <w:bCs w:val="1"/>
                <w:color w:val="auto"/>
                <w:w w:val="89"/>
              </w:rPr>
              <w:t>For nine months ended</w:t>
            </w:r>
          </w:p>
        </w:tc>
      </w:tr>
      <w:tr>
        <w:trPr>
          <w:trHeight w:val="234"/>
        </w:trPr>
        <w:tc>
          <w:tcPr>
            <w:tcW w:w="4740" w:type="dxa"/>
            <w:vAlign w:val="bottom"/>
          </w:tcPr>
          <w:p>
            <w:pPr>
              <w:spacing w:after="0"/>
              <w:rPr>
                <w:sz w:val="20"/>
                <w:szCs w:val="20"/>
                <w:color w:val="auto"/>
              </w:rPr>
            </w:pPr>
          </w:p>
        </w:tc>
        <w:tc>
          <w:tcPr>
            <w:tcW w:w="2140" w:type="dxa"/>
            <w:vAlign w:val="bottom"/>
            <w:tcBorders>
              <w:bottom w:val="single" w:sz="8" w:color="auto"/>
            </w:tcBorders>
            <w:gridSpan w:val="3"/>
          </w:tcPr>
          <w:p>
            <w:pPr>
              <w:jc w:val="center"/>
              <w:ind w:left="830"/>
              <w:spacing w:after="0"/>
              <w:rPr>
                <w:sz w:val="20"/>
                <w:szCs w:val="20"/>
                <w:color w:val="auto"/>
              </w:rPr>
            </w:pPr>
            <w:r>
              <w:rPr>
                <w:rFonts w:ascii="Arial" w:cs="Arial" w:eastAsia="Arial" w:hAnsi="Arial"/>
                <w:sz w:val="18"/>
                <w:szCs w:val="18"/>
                <w:b w:val="1"/>
                <w:bCs w:val="1"/>
                <w:color w:val="auto"/>
                <w:w w:val="89"/>
              </w:rPr>
              <w:t>September 30,</w:t>
            </w:r>
          </w:p>
        </w:tc>
        <w:tc>
          <w:tcPr>
            <w:tcW w:w="940" w:type="dxa"/>
            <w:vAlign w:val="bottom"/>
            <w:tcBorders>
              <w:bottom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2100" w:type="dxa"/>
            <w:vAlign w:val="bottom"/>
            <w:tcBorders>
              <w:bottom w:val="single" w:sz="8" w:color="auto"/>
            </w:tcBorders>
            <w:gridSpan w:val="3"/>
          </w:tcPr>
          <w:p>
            <w:pPr>
              <w:jc w:val="center"/>
              <w:ind w:left="790"/>
              <w:spacing w:after="0"/>
              <w:rPr>
                <w:sz w:val="20"/>
                <w:szCs w:val="20"/>
                <w:color w:val="auto"/>
              </w:rPr>
            </w:pPr>
            <w:r>
              <w:rPr>
                <w:rFonts w:ascii="Arial" w:cs="Arial" w:eastAsia="Arial" w:hAnsi="Arial"/>
                <w:sz w:val="18"/>
                <w:szCs w:val="18"/>
                <w:b w:val="1"/>
                <w:bCs w:val="1"/>
                <w:color w:val="auto"/>
                <w:w w:val="89"/>
              </w:rPr>
              <w:t>September 30,</w:t>
            </w:r>
          </w:p>
        </w:tc>
        <w:tc>
          <w:tcPr>
            <w:tcW w:w="90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4740" w:type="dxa"/>
            <w:vAlign w:val="bottom"/>
          </w:tcPr>
          <w:p>
            <w:pPr>
              <w:spacing w:after="0"/>
              <w:rPr>
                <w:sz w:val="19"/>
                <w:szCs w:val="19"/>
                <w:color w:val="auto"/>
              </w:rPr>
            </w:pPr>
          </w:p>
        </w:tc>
        <w:tc>
          <w:tcPr>
            <w:tcW w:w="136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2023</w:t>
            </w:r>
          </w:p>
        </w:tc>
        <w:tc>
          <w:tcPr>
            <w:tcW w:w="34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tcPr>
          <w:p>
            <w:pPr>
              <w:jc w:val="right"/>
              <w:ind w:right="430"/>
              <w:spacing w:after="0"/>
              <w:rPr>
                <w:sz w:val="20"/>
                <w:szCs w:val="20"/>
                <w:color w:val="auto"/>
              </w:rPr>
            </w:pPr>
            <w:r>
              <w:rPr>
                <w:rFonts w:ascii="Arial" w:cs="Arial" w:eastAsia="Arial" w:hAnsi="Arial"/>
                <w:sz w:val="18"/>
                <w:szCs w:val="18"/>
                <w:b w:val="1"/>
                <w:bCs w:val="1"/>
                <w:color w:val="auto"/>
                <w:w w:val="99"/>
              </w:rPr>
              <w:t>2022</w:t>
            </w:r>
          </w:p>
        </w:tc>
        <w:tc>
          <w:tcPr>
            <w:tcW w:w="320" w:type="dxa"/>
            <w:vAlign w:val="bottom"/>
          </w:tcPr>
          <w:p>
            <w:pPr>
              <w:spacing w:after="0"/>
              <w:rPr>
                <w:sz w:val="19"/>
                <w:szCs w:val="19"/>
                <w:color w:val="auto"/>
              </w:rPr>
            </w:pPr>
          </w:p>
        </w:tc>
        <w:tc>
          <w:tcPr>
            <w:tcW w:w="134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19"/>
                <w:szCs w:val="19"/>
                <w:color w:val="auto"/>
              </w:rPr>
            </w:pPr>
          </w:p>
        </w:tc>
        <w:tc>
          <w:tcPr>
            <w:tcW w:w="44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tcPr>
          <w:p>
            <w:pPr>
              <w:jc w:val="right"/>
              <w:ind w:right="410"/>
              <w:spacing w:after="0"/>
              <w:rPr>
                <w:sz w:val="20"/>
                <w:szCs w:val="20"/>
                <w:color w:val="auto"/>
              </w:rPr>
            </w:pPr>
            <w:r>
              <w:rPr>
                <w:rFonts w:ascii="Arial" w:cs="Arial" w:eastAsia="Arial" w:hAnsi="Arial"/>
                <w:sz w:val="18"/>
                <w:szCs w:val="18"/>
                <w:b w:val="1"/>
                <w:bCs w:val="1"/>
                <w:color w:val="auto"/>
                <w:w w:val="94"/>
              </w:rPr>
              <w:t>2022</w:t>
            </w:r>
          </w:p>
        </w:tc>
        <w:tc>
          <w:tcPr>
            <w:tcW w:w="100" w:type="dxa"/>
            <w:vAlign w:val="bottom"/>
          </w:tcPr>
          <w:p>
            <w:pPr>
              <w:spacing w:after="0"/>
              <w:rPr>
                <w:sz w:val="19"/>
                <w:szCs w:val="19"/>
                <w:color w:val="auto"/>
              </w:rPr>
            </w:pPr>
          </w:p>
        </w:tc>
      </w:tr>
      <w:tr>
        <w:trPr>
          <w:trHeight w:val="209"/>
        </w:trPr>
        <w:tc>
          <w:tcPr>
            <w:tcW w:w="4740" w:type="dxa"/>
            <w:vAlign w:val="bottom"/>
          </w:tcPr>
          <w:p>
            <w:pPr>
              <w:spacing w:after="0"/>
              <w:rPr>
                <w:sz w:val="18"/>
                <w:szCs w:val="18"/>
                <w:color w:val="auto"/>
              </w:rPr>
            </w:pPr>
          </w:p>
        </w:tc>
        <w:tc>
          <w:tcPr>
            <w:tcW w:w="13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34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Numerator:</w:t>
            </w:r>
          </w:p>
        </w:tc>
        <w:tc>
          <w:tcPr>
            <w:tcW w:w="13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Net loss attributable to the Company</w:t>
            </w:r>
          </w:p>
        </w:tc>
        <w:tc>
          <w:tcPr>
            <w:tcW w:w="1700" w:type="dxa"/>
            <w:vAlign w:val="bottom"/>
            <w:gridSpan w:val="2"/>
          </w:tcPr>
          <w:p>
            <w:pPr>
              <w:jc w:val="right"/>
              <w:ind w:right="280"/>
              <w:spacing w:after="0"/>
              <w:rPr>
                <w:sz w:val="20"/>
                <w:szCs w:val="20"/>
                <w:color w:val="auto"/>
              </w:rPr>
            </w:pPr>
            <w:r>
              <w:rPr>
                <w:rFonts w:ascii="Arial" w:cs="Arial" w:eastAsia="Arial" w:hAnsi="Arial"/>
                <w:sz w:val="18"/>
                <w:szCs w:val="18"/>
                <w:color w:val="auto"/>
              </w:rPr>
              <w:t>(264,059)</w:t>
            </w:r>
          </w:p>
        </w:tc>
        <w:tc>
          <w:tcPr>
            <w:tcW w:w="440" w:type="dxa"/>
            <w:vAlign w:val="bottom"/>
          </w:tcPr>
          <w:p>
            <w:pPr>
              <w:spacing w:after="0"/>
              <w:rPr>
                <w:sz w:val="18"/>
                <w:szCs w:val="18"/>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(865,490)</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(1,563,081)</w:t>
            </w:r>
          </w:p>
        </w:tc>
        <w:tc>
          <w:tcPr>
            <w:tcW w:w="440" w:type="dxa"/>
            <w:vAlign w:val="bottom"/>
          </w:tcPr>
          <w:p>
            <w:pPr>
              <w:spacing w:after="0"/>
              <w:rPr>
                <w:sz w:val="18"/>
                <w:szCs w:val="18"/>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(2,055,187)</w:t>
            </w: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Net loss from continuing operations</w:t>
            </w:r>
          </w:p>
        </w:tc>
        <w:tc>
          <w:tcPr>
            <w:tcW w:w="1700" w:type="dxa"/>
            <w:vAlign w:val="bottom"/>
            <w:gridSpan w:val="2"/>
            <w:shd w:val="clear" w:color="auto" w:fill="EEEEEE"/>
          </w:tcPr>
          <w:p>
            <w:pPr>
              <w:jc w:val="right"/>
              <w:ind w:right="280"/>
              <w:spacing w:after="0"/>
              <w:rPr>
                <w:sz w:val="20"/>
                <w:szCs w:val="20"/>
                <w:color w:val="auto"/>
              </w:rPr>
            </w:pPr>
            <w:r>
              <w:rPr>
                <w:rFonts w:ascii="Arial" w:cs="Arial" w:eastAsia="Arial" w:hAnsi="Arial"/>
                <w:sz w:val="18"/>
                <w:szCs w:val="18"/>
                <w:color w:val="auto"/>
              </w:rPr>
              <w:t>(272,778)</w:t>
            </w:r>
          </w:p>
        </w:tc>
        <w:tc>
          <w:tcPr>
            <w:tcW w:w="440" w:type="dxa"/>
            <w:vAlign w:val="bottom"/>
            <w:shd w:val="clear" w:color="auto" w:fill="EEEEEE"/>
          </w:tcPr>
          <w:p>
            <w:pPr>
              <w:spacing w:after="0"/>
              <w:rPr>
                <w:sz w:val="18"/>
                <w:szCs w:val="18"/>
                <w:color w:val="auto"/>
              </w:rPr>
            </w:pPr>
          </w:p>
        </w:tc>
        <w:tc>
          <w:tcPr>
            <w:tcW w:w="12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(800,255)</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(1,607,279)</w:t>
            </w:r>
          </w:p>
        </w:tc>
        <w:tc>
          <w:tcPr>
            <w:tcW w:w="440" w:type="dxa"/>
            <w:vAlign w:val="bottom"/>
            <w:shd w:val="clear" w:color="auto" w:fill="EEEEEE"/>
          </w:tcPr>
          <w:p>
            <w:pPr>
              <w:spacing w:after="0"/>
              <w:rPr>
                <w:sz w:val="18"/>
                <w:szCs w:val="18"/>
                <w:color w:val="auto"/>
              </w:rPr>
            </w:pPr>
          </w:p>
        </w:tc>
        <w:tc>
          <w:tcPr>
            <w:tcW w:w="100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(2,000,358)</w:t>
            </w: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Net (loss) income from discontinued operations</w:t>
            </w:r>
          </w:p>
        </w:tc>
        <w:tc>
          <w:tcPr>
            <w:tcW w:w="2140" w:type="dxa"/>
            <w:vAlign w:val="bottom"/>
            <w:gridSpan w:val="3"/>
          </w:tcPr>
          <w:p>
            <w:pPr>
              <w:jc w:val="right"/>
              <w:ind w:right="78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(60,468)</w:t>
            </w:r>
          </w:p>
        </w:tc>
        <w:tc>
          <w:tcPr>
            <w:tcW w:w="2100" w:type="dxa"/>
            <w:vAlign w:val="bottom"/>
            <w:gridSpan w:val="3"/>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(50,062)</w:t>
            </w:r>
          </w:p>
        </w:tc>
      </w:tr>
      <w:tr>
        <w:trPr>
          <w:trHeight w:val="216"/>
        </w:trPr>
        <w:tc>
          <w:tcPr>
            <w:tcW w:w="474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Denominator:</w:t>
            </w: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Weighted-average shares outstanding – Basic and Diluted</w:t>
            </w:r>
          </w:p>
        </w:tc>
        <w:tc>
          <w:tcPr>
            <w:tcW w:w="1700" w:type="dxa"/>
            <w:vAlign w:val="bottom"/>
            <w:gridSpan w:val="2"/>
            <w:shd w:val="clear" w:color="auto" w:fill="EEEEEE"/>
          </w:tcPr>
          <w:p>
            <w:pPr>
              <w:jc w:val="right"/>
              <w:ind w:right="340"/>
              <w:spacing w:after="0"/>
              <w:rPr>
                <w:sz w:val="20"/>
                <w:szCs w:val="20"/>
                <w:color w:val="auto"/>
              </w:rPr>
            </w:pPr>
            <w:r>
              <w:rPr>
                <w:rFonts w:ascii="Arial" w:cs="Arial" w:eastAsia="Arial" w:hAnsi="Arial"/>
                <w:sz w:val="18"/>
                <w:szCs w:val="18"/>
                <w:color w:val="auto"/>
              </w:rPr>
              <w:t>10,019,125</w:t>
            </w:r>
          </w:p>
        </w:tc>
        <w:tc>
          <w:tcPr>
            <w:tcW w:w="440" w:type="dxa"/>
            <w:vAlign w:val="bottom"/>
            <w:shd w:val="clear" w:color="auto" w:fill="EEEEEE"/>
          </w:tcPr>
          <w:p>
            <w:pPr>
              <w:spacing w:after="0"/>
              <w:rPr>
                <w:sz w:val="18"/>
                <w:szCs w:val="18"/>
                <w:color w:val="auto"/>
              </w:rPr>
            </w:pPr>
          </w:p>
        </w:tc>
        <w:tc>
          <w:tcPr>
            <w:tcW w:w="12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8,078,587</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9,703,101</w:t>
            </w:r>
          </w:p>
        </w:tc>
        <w:tc>
          <w:tcPr>
            <w:tcW w:w="440" w:type="dxa"/>
            <w:vAlign w:val="bottom"/>
            <w:shd w:val="clear" w:color="auto" w:fill="EEEEEE"/>
          </w:tcPr>
          <w:p>
            <w:pPr>
              <w:spacing w:after="0"/>
              <w:rPr>
                <w:sz w:val="18"/>
                <w:szCs w:val="18"/>
                <w:color w:val="auto"/>
              </w:rPr>
            </w:pPr>
          </w:p>
        </w:tc>
        <w:tc>
          <w:tcPr>
            <w:tcW w:w="100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7,448,770</w:t>
            </w:r>
          </w:p>
        </w:tc>
      </w:tr>
      <w:tr>
        <w:trPr>
          <w:trHeight w:val="216"/>
        </w:trPr>
        <w:tc>
          <w:tcPr>
            <w:tcW w:w="474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Loss per share – Basic and Diluted</w:t>
            </w:r>
          </w:p>
        </w:tc>
        <w:tc>
          <w:tcPr>
            <w:tcW w:w="13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02"/>
        </w:trPr>
        <w:tc>
          <w:tcPr>
            <w:tcW w:w="4740" w:type="dxa"/>
            <w:vAlign w:val="bottom"/>
          </w:tcPr>
          <w:p>
            <w:pPr>
              <w:spacing w:after="0" w:line="201" w:lineRule="exact"/>
              <w:rPr>
                <w:sz w:val="20"/>
                <w:szCs w:val="20"/>
                <w:color w:val="auto"/>
              </w:rPr>
            </w:pPr>
            <w:r>
              <w:rPr>
                <w:rFonts w:ascii="Arial" w:cs="Arial" w:eastAsia="Arial" w:hAnsi="Arial"/>
                <w:sz w:val="18"/>
                <w:szCs w:val="18"/>
                <w:color w:val="auto"/>
              </w:rPr>
              <w:t>Net loss per share from continuing operations – basic and</w:t>
            </w:r>
          </w:p>
        </w:tc>
        <w:tc>
          <w:tcPr>
            <w:tcW w:w="13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30"/>
        </w:trPr>
        <w:tc>
          <w:tcPr>
            <w:tcW w:w="4740" w:type="dxa"/>
            <w:vAlign w:val="bottom"/>
          </w:tcPr>
          <w:p>
            <w:pPr>
              <w:ind w:left="100"/>
              <w:spacing w:after="0"/>
              <w:rPr>
                <w:sz w:val="20"/>
                <w:szCs w:val="20"/>
                <w:color w:val="auto"/>
              </w:rPr>
            </w:pPr>
            <w:r>
              <w:rPr>
                <w:rFonts w:ascii="Arial" w:cs="Arial" w:eastAsia="Arial" w:hAnsi="Arial"/>
                <w:sz w:val="18"/>
                <w:szCs w:val="18"/>
                <w:color w:val="auto"/>
              </w:rPr>
              <w:t>diluted</w:t>
            </w:r>
          </w:p>
        </w:tc>
        <w:tc>
          <w:tcPr>
            <w:tcW w:w="1700" w:type="dxa"/>
            <w:vAlign w:val="bottom"/>
            <w:gridSpan w:val="2"/>
          </w:tcPr>
          <w:p>
            <w:pPr>
              <w:jc w:val="right"/>
              <w:ind w:right="280"/>
              <w:spacing w:after="0"/>
              <w:rPr>
                <w:sz w:val="20"/>
                <w:szCs w:val="20"/>
                <w:color w:val="auto"/>
              </w:rPr>
            </w:pPr>
            <w:r>
              <w:rPr>
                <w:rFonts w:ascii="Arial" w:cs="Arial" w:eastAsia="Arial" w:hAnsi="Arial"/>
                <w:sz w:val="18"/>
                <w:szCs w:val="18"/>
                <w:color w:val="auto"/>
              </w:rPr>
              <w:t>(0.0264)</w:t>
            </w:r>
          </w:p>
        </w:tc>
        <w:tc>
          <w:tcPr>
            <w:tcW w:w="440" w:type="dxa"/>
            <w:vAlign w:val="bottom"/>
          </w:tcPr>
          <w:p>
            <w:pPr>
              <w:spacing w:after="0"/>
              <w:rPr>
                <w:sz w:val="20"/>
                <w:szCs w:val="20"/>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(0.0996)</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(0.1611)</w:t>
            </w:r>
          </w:p>
        </w:tc>
        <w:tc>
          <w:tcPr>
            <w:tcW w:w="440" w:type="dxa"/>
            <w:vAlign w:val="bottom"/>
          </w:tcPr>
          <w:p>
            <w:pPr>
              <w:spacing w:after="0"/>
              <w:rPr>
                <w:sz w:val="20"/>
                <w:szCs w:val="20"/>
                <w:color w:val="auto"/>
              </w:rPr>
            </w:pPr>
          </w:p>
        </w:tc>
        <w:tc>
          <w:tcPr>
            <w:tcW w:w="1000" w:type="dxa"/>
            <w:vAlign w:val="bottom"/>
            <w:gridSpan w:val="2"/>
          </w:tcPr>
          <w:p>
            <w:pPr>
              <w:jc w:val="right"/>
              <w:ind w:right="40"/>
              <w:spacing w:after="0"/>
              <w:rPr>
                <w:sz w:val="20"/>
                <w:szCs w:val="20"/>
                <w:color w:val="auto"/>
              </w:rPr>
            </w:pPr>
            <w:r>
              <w:rPr>
                <w:rFonts w:ascii="Arial" w:cs="Arial" w:eastAsia="Arial" w:hAnsi="Arial"/>
                <w:sz w:val="18"/>
                <w:szCs w:val="18"/>
                <w:color w:val="auto"/>
              </w:rPr>
              <w:t>(0.2692)</w:t>
            </w:r>
          </w:p>
        </w:tc>
      </w:tr>
      <w:tr>
        <w:trPr>
          <w:trHeight w:val="202"/>
        </w:trPr>
        <w:tc>
          <w:tcPr>
            <w:tcW w:w="4740" w:type="dxa"/>
            <w:vAlign w:val="bottom"/>
            <w:shd w:val="clear" w:color="auto" w:fill="EEEEEE"/>
          </w:tcPr>
          <w:p>
            <w:pPr>
              <w:spacing w:after="0" w:line="201" w:lineRule="exact"/>
              <w:rPr>
                <w:sz w:val="20"/>
                <w:szCs w:val="20"/>
                <w:color w:val="auto"/>
              </w:rPr>
            </w:pPr>
            <w:r>
              <w:rPr>
                <w:rFonts w:ascii="Arial" w:cs="Arial" w:eastAsia="Arial" w:hAnsi="Arial"/>
                <w:sz w:val="18"/>
                <w:szCs w:val="18"/>
                <w:color w:val="auto"/>
                <w:w w:val="99"/>
              </w:rPr>
              <w:t>Net (loss) income per share from discontinued operations –</w:t>
            </w:r>
          </w:p>
        </w:tc>
        <w:tc>
          <w:tcPr>
            <w:tcW w:w="136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9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3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30"/>
        </w:trPr>
        <w:tc>
          <w:tcPr>
            <w:tcW w:w="4740" w:type="dxa"/>
            <w:vAlign w:val="bottom"/>
            <w:shd w:val="clear" w:color="auto" w:fill="EEEEEE"/>
          </w:tcPr>
          <w:p>
            <w:pPr>
              <w:ind w:left="100"/>
              <w:spacing w:after="0"/>
              <w:rPr>
                <w:sz w:val="20"/>
                <w:szCs w:val="20"/>
                <w:color w:val="auto"/>
              </w:rPr>
            </w:pPr>
            <w:r>
              <w:rPr>
                <w:rFonts w:ascii="Arial" w:cs="Arial" w:eastAsia="Arial" w:hAnsi="Arial"/>
                <w:sz w:val="18"/>
                <w:szCs w:val="18"/>
                <w:color w:val="auto"/>
              </w:rPr>
              <w:t>basic and diluted</w:t>
            </w:r>
          </w:p>
        </w:tc>
        <w:tc>
          <w:tcPr>
            <w:tcW w:w="2140" w:type="dxa"/>
            <w:vAlign w:val="bottom"/>
            <w:gridSpan w:val="3"/>
            <w:shd w:val="clear" w:color="auto" w:fill="EEEEEE"/>
          </w:tcPr>
          <w:p>
            <w:pPr>
              <w:jc w:val="right"/>
              <w:ind w:right="78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(0.0075)</w:t>
            </w:r>
          </w:p>
        </w:tc>
        <w:tc>
          <w:tcPr>
            <w:tcW w:w="2100" w:type="dxa"/>
            <w:vAlign w:val="bottom"/>
            <w:gridSpan w:val="3"/>
            <w:shd w:val="clear" w:color="auto" w:fill="EEEEEE"/>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(0.0067)</w:t>
            </w: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Basic net loss per common share is computed using the weighted average number of the common shares outstanding during the period.</w:t>
      </w:r>
    </w:p>
    <w:p>
      <w:pPr>
        <w:spacing w:after="0" w:line="221"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19</w:t>
      </w:r>
      <w:r>
        <w:rPr>
          <w:sz w:val="20"/>
          <w:szCs w:val="20"/>
          <w:color w:val="auto"/>
        </w:rPr>
        <w:tab/>
      </w:r>
      <w:r>
        <w:rPr>
          <w:rFonts w:ascii="Arial" w:cs="Arial" w:eastAsia="Arial" w:hAnsi="Arial"/>
          <w:sz w:val="17"/>
          <w:szCs w:val="17"/>
          <w:b w:val="1"/>
          <w:bCs w:val="1"/>
          <w:color w:val="auto"/>
        </w:rPr>
        <w:t>DISPOSAL OF XIN FENG CONSTRUCTION CO., LTD (“XFC”)</w:t>
      </w:r>
    </w:p>
    <w:p>
      <w:pPr>
        <w:spacing w:after="0" w:line="229"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the Company, XFC and Han-Chieh Shih (the “Purchaser”) entered into certain Share Purchase Agreement (the “Purchase Agreement”). Pursuant to the Purchase Agreement, the Purchaser agreed to purchase XFC 100% controlling interest in exchange of cash purchase price of $300,000 (the “Consideration”). The transaction contemplated by the Purchase Agreement is hereby referred as the Disposal. On March 29, 2022, management was authorized to approve and commit to a plan to sell XFC. On November 30, 2022, the parties completed all the share transfer registration procedure as required by the laws of Taiwan and all the other closing conditions have been satisfied, as a result, the Disposal contemplated by the Purchase Agreement is completed and the VIE agreements were terminated.</w:t>
      </w:r>
    </w:p>
    <w:p>
      <w:pPr>
        <w:spacing w:after="0" w:line="16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accordance with ASC 205-20-45, XFC met the criteria as a discontinued operation. As of November 30, 2022, the assets relevant to the sale of XFC with a carrying value of $2.6 million were classified as assets held, the liabilities relevant to the sale of XFC with a carrying value of $71,168 were classified as liabilities held for sale, and the cumulative translation adjustments relevant to the sale of XFC of $1.8 million was removed from the equity component and was reported as a gain on the sale of XFC. A net loss of $2.8 million was recognized as the net loss from disposal of discontinued operation in the year ended December 31,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26" w:name="page27"/>
    <w:bookmarkEnd w:id="26"/>
    <w:p>
      <w:pPr>
        <w:ind w:right="20"/>
        <w:spacing w:after="0" w:line="277" w:lineRule="auto"/>
        <w:rPr>
          <w:sz w:val="20"/>
          <w:szCs w:val="20"/>
          <w:color w:val="auto"/>
        </w:rPr>
      </w:pPr>
      <w:r>
        <w:rPr>
          <w:rFonts w:ascii="Arial" w:cs="Arial" w:eastAsia="Arial" w:hAnsi="Arial"/>
          <w:sz w:val="18"/>
          <w:szCs w:val="18"/>
          <w:color w:val="auto"/>
        </w:rPr>
        <w:t>The following is a reconciliation of the amounts of major classes of income from operations classified as discontinued operations in the consolidated statements of operations and comprehensive loss for the years ended December 31, 2022 and 2021:</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4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20" w:type="dxa"/>
            <w:vAlign w:val="bottom"/>
            <w:gridSpan w:val="6"/>
          </w:tcPr>
          <w:p>
            <w:pPr>
              <w:jc w:val="right"/>
              <w:ind w:right="1060"/>
              <w:spacing w:after="0"/>
              <w:rPr>
                <w:sz w:val="20"/>
                <w:szCs w:val="20"/>
                <w:color w:val="auto"/>
              </w:rPr>
            </w:pPr>
            <w:r>
              <w:rPr>
                <w:rFonts w:ascii="Arial" w:cs="Arial" w:eastAsia="Arial" w:hAnsi="Arial"/>
                <w:sz w:val="18"/>
                <w:szCs w:val="18"/>
                <w:b w:val="1"/>
                <w:bCs w:val="1"/>
                <w:color w:val="auto"/>
              </w:rPr>
              <w:t>For the Years Ended</w:t>
            </w:r>
          </w:p>
        </w:tc>
      </w:tr>
      <w:tr>
        <w:trPr>
          <w:trHeight w:val="234"/>
        </w:trPr>
        <w:tc>
          <w:tcPr>
            <w:tcW w:w="564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202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8"/>
                <w:szCs w:val="18"/>
                <w:b w:val="1"/>
                <w:bCs w:val="1"/>
                <w:color w:val="auto"/>
              </w:rPr>
              <w:t>December 31,</w:t>
            </w:r>
          </w:p>
        </w:tc>
        <w:tc>
          <w:tcPr>
            <w:tcW w:w="110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5640" w:type="dxa"/>
            <w:vAlign w:val="bottom"/>
            <w:tcBorders>
              <w:bottom w:val="single" w:sz="8" w:color="EEEEEE"/>
            </w:tcBorders>
          </w:tcPr>
          <w:p>
            <w:pPr>
              <w:spacing w:after="0"/>
              <w:rPr>
                <w:sz w:val="19"/>
                <w:szCs w:val="19"/>
                <w:color w:val="auto"/>
              </w:rPr>
            </w:pPr>
          </w:p>
        </w:tc>
        <w:tc>
          <w:tcPr>
            <w:tcW w:w="2020" w:type="dxa"/>
            <w:vAlign w:val="bottom"/>
            <w:tcBorders>
              <w:bottom w:val="single" w:sz="8" w:color="EEEEEE"/>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320" w:type="dxa"/>
            <w:vAlign w:val="bottom"/>
            <w:tcBorders>
              <w:bottom w:val="single" w:sz="8" w:color="EEEEEE"/>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20" w:type="dxa"/>
            <w:vAlign w:val="bottom"/>
            <w:tcBorders>
              <w:bottom w:val="single" w:sz="8" w:color="EEEEEE"/>
            </w:tcBorders>
          </w:tcPr>
          <w:p>
            <w:pPr>
              <w:spacing w:after="0"/>
              <w:rPr>
                <w:sz w:val="19"/>
                <w:szCs w:val="19"/>
                <w:color w:val="auto"/>
              </w:rPr>
            </w:pPr>
          </w:p>
        </w:tc>
        <w:tc>
          <w:tcPr>
            <w:tcW w:w="80" w:type="dxa"/>
            <w:vAlign w:val="bottom"/>
            <w:tcBorders>
              <w:bottom w:val="single" w:sz="8" w:color="EEEEEE"/>
            </w:tcBorders>
          </w:tcPr>
          <w:p>
            <w:pPr>
              <w:spacing w:after="0"/>
              <w:rPr>
                <w:sz w:val="19"/>
                <w:szCs w:val="19"/>
                <w:color w:val="auto"/>
              </w:rPr>
            </w:pPr>
          </w:p>
        </w:tc>
      </w:tr>
      <w:tr>
        <w:trPr>
          <w:trHeight w:val="209"/>
        </w:trPr>
        <w:tc>
          <w:tcPr>
            <w:tcW w:w="56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Discontinued Operations:</w:t>
            </w:r>
          </w:p>
        </w:tc>
        <w:tc>
          <w:tcPr>
            <w:tcW w:w="20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Revenue</w:t>
            </w:r>
          </w:p>
        </w:tc>
        <w:tc>
          <w:tcPr>
            <w:tcW w:w="23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241"/>
              <w:spacing w:after="0"/>
              <w:rPr>
                <w:sz w:val="20"/>
                <w:szCs w:val="20"/>
                <w:color w:val="auto"/>
              </w:rPr>
            </w:pPr>
            <w:r>
              <w:rPr>
                <w:rFonts w:ascii="Arial" w:cs="Arial" w:eastAsia="Arial" w:hAnsi="Arial"/>
                <w:sz w:val="18"/>
                <w:szCs w:val="18"/>
                <w:color w:val="auto"/>
              </w:rPr>
              <w:t>2,236,616</w:t>
            </w: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6,101,103</w:t>
            </w:r>
          </w:p>
        </w:tc>
        <w:tc>
          <w:tcPr>
            <w:tcW w:w="80" w:type="dxa"/>
            <w:vAlign w:val="bottom"/>
          </w:tcPr>
          <w:p>
            <w:pPr>
              <w:spacing w:after="0"/>
              <w:rPr>
                <w:sz w:val="18"/>
                <w:szCs w:val="18"/>
                <w:color w:val="auto"/>
              </w:rPr>
            </w:pPr>
          </w:p>
        </w:tc>
      </w:tr>
      <w:tr>
        <w:trPr>
          <w:trHeight w:val="216"/>
        </w:trPr>
        <w:tc>
          <w:tcPr>
            <w:tcW w:w="5640" w:type="dxa"/>
            <w:vAlign w:val="bottom"/>
            <w:shd w:val="clear" w:color="auto" w:fill="EEEEEE"/>
          </w:tcPr>
          <w:p>
            <w:pPr>
              <w:spacing w:after="0"/>
              <w:rPr>
                <w:sz w:val="20"/>
                <w:szCs w:val="20"/>
                <w:color w:val="auto"/>
              </w:rPr>
            </w:pPr>
            <w:r>
              <w:rPr>
                <w:rFonts w:ascii="Arial" w:cs="Arial" w:eastAsia="Arial" w:hAnsi="Arial"/>
                <w:sz w:val="18"/>
                <w:szCs w:val="18"/>
                <w:color w:val="auto"/>
              </w:rPr>
              <w:t>Cost of revenues</w:t>
            </w:r>
          </w:p>
        </w:tc>
        <w:tc>
          <w:tcPr>
            <w:tcW w:w="20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(2,225,487)</w:t>
            </w:r>
          </w:p>
        </w:tc>
        <w:tc>
          <w:tcPr>
            <w:tcW w:w="480" w:type="dxa"/>
            <w:vAlign w:val="bottom"/>
            <w:shd w:val="clear" w:color="auto" w:fill="EEEEEE"/>
          </w:tcPr>
          <w:p>
            <w:pPr>
              <w:spacing w:after="0"/>
              <w:rPr>
                <w:sz w:val="18"/>
                <w:szCs w:val="18"/>
                <w:color w:val="auto"/>
              </w:rPr>
            </w:pPr>
          </w:p>
        </w:tc>
        <w:tc>
          <w:tcPr>
            <w:tcW w:w="12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(5,230,321)</w:t>
            </w: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Selling expenses</w:t>
            </w:r>
          </w:p>
        </w:tc>
        <w:tc>
          <w:tcPr>
            <w:tcW w:w="20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4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20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640" w:type="dxa"/>
            <w:vAlign w:val="bottom"/>
            <w:shd w:val="clear" w:color="auto" w:fill="EEEEEE"/>
          </w:tcPr>
          <w:p>
            <w:pPr>
              <w:spacing w:after="0"/>
              <w:rPr>
                <w:sz w:val="20"/>
                <w:szCs w:val="20"/>
                <w:color w:val="auto"/>
              </w:rPr>
            </w:pPr>
            <w:r>
              <w:rPr>
                <w:rFonts w:ascii="Arial" w:cs="Arial" w:eastAsia="Arial" w:hAnsi="Arial"/>
                <w:sz w:val="18"/>
                <w:szCs w:val="18"/>
                <w:color w:val="auto"/>
              </w:rPr>
              <w:t>General and administrative expenses</w:t>
            </w:r>
          </w:p>
        </w:tc>
        <w:tc>
          <w:tcPr>
            <w:tcW w:w="20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(105,226)</w:t>
            </w:r>
          </w:p>
        </w:tc>
        <w:tc>
          <w:tcPr>
            <w:tcW w:w="480" w:type="dxa"/>
            <w:vAlign w:val="bottom"/>
            <w:shd w:val="clear" w:color="auto" w:fill="EEEEEE"/>
          </w:tcPr>
          <w:p>
            <w:pPr>
              <w:spacing w:after="0"/>
              <w:rPr>
                <w:sz w:val="18"/>
                <w:szCs w:val="18"/>
                <w:color w:val="auto"/>
              </w:rPr>
            </w:pPr>
          </w:p>
        </w:tc>
        <w:tc>
          <w:tcPr>
            <w:tcW w:w="12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(213,863)</w:t>
            </w: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Other revenue</w:t>
            </w:r>
          </w:p>
        </w:tc>
        <w:tc>
          <w:tcPr>
            <w:tcW w:w="20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40" w:type="dxa"/>
            <w:vAlign w:val="bottom"/>
            <w:gridSpan w:val="2"/>
          </w:tcPr>
          <w:p>
            <w:pPr>
              <w:jc w:val="right"/>
              <w:ind w:right="241"/>
              <w:spacing w:after="0"/>
              <w:rPr>
                <w:sz w:val="20"/>
                <w:szCs w:val="20"/>
                <w:color w:val="auto"/>
              </w:rPr>
            </w:pPr>
            <w:r>
              <w:rPr>
                <w:rFonts w:ascii="Arial" w:cs="Arial" w:eastAsia="Arial" w:hAnsi="Arial"/>
                <w:sz w:val="18"/>
                <w:szCs w:val="18"/>
                <w:color w:val="auto"/>
              </w:rPr>
              <w:t>1,812</w:t>
            </w:r>
          </w:p>
        </w:tc>
        <w:tc>
          <w:tcPr>
            <w:tcW w:w="48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1,455</w:t>
            </w:r>
          </w:p>
        </w:tc>
        <w:tc>
          <w:tcPr>
            <w:tcW w:w="80" w:type="dxa"/>
            <w:vAlign w:val="bottom"/>
          </w:tcPr>
          <w:p>
            <w:pPr>
              <w:spacing w:after="0"/>
              <w:rPr>
                <w:sz w:val="18"/>
                <w:szCs w:val="18"/>
                <w:color w:val="auto"/>
              </w:rPr>
            </w:pPr>
          </w:p>
        </w:tc>
      </w:tr>
      <w:tr>
        <w:trPr>
          <w:trHeight w:val="216"/>
        </w:trPr>
        <w:tc>
          <w:tcPr>
            <w:tcW w:w="5640" w:type="dxa"/>
            <w:vAlign w:val="bottom"/>
            <w:shd w:val="clear" w:color="auto" w:fill="EEEEEE"/>
          </w:tcPr>
          <w:p>
            <w:pPr>
              <w:spacing w:after="0"/>
              <w:rPr>
                <w:sz w:val="20"/>
                <w:szCs w:val="20"/>
                <w:color w:val="auto"/>
              </w:rPr>
            </w:pPr>
            <w:r>
              <w:rPr>
                <w:rFonts w:ascii="Arial" w:cs="Arial" w:eastAsia="Arial" w:hAnsi="Arial"/>
                <w:sz w:val="18"/>
                <w:szCs w:val="18"/>
                <w:color w:val="auto"/>
              </w:rPr>
              <w:t>Other expenses</w:t>
            </w:r>
          </w:p>
        </w:tc>
        <w:tc>
          <w:tcPr>
            <w:tcW w:w="20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480" w:type="dxa"/>
            <w:vAlign w:val="bottom"/>
            <w:shd w:val="clear" w:color="auto" w:fill="EEEEEE"/>
          </w:tcPr>
          <w:p>
            <w:pPr>
              <w:spacing w:after="0"/>
              <w:rPr>
                <w:sz w:val="18"/>
                <w:szCs w:val="18"/>
                <w:color w:val="auto"/>
              </w:rPr>
            </w:pPr>
          </w:p>
        </w:tc>
        <w:tc>
          <w:tcPr>
            <w:tcW w:w="12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(5,819)</w:t>
            </w: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Income tax</w:t>
            </w:r>
          </w:p>
        </w:tc>
        <w:tc>
          <w:tcPr>
            <w:tcW w:w="20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4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200" w:type="dxa"/>
            <w:vAlign w:val="bottom"/>
            <w:gridSpan w:val="3"/>
          </w:tcPr>
          <w:p>
            <w:pPr>
              <w:jc w:val="right"/>
              <w:ind w:right="40"/>
              <w:spacing w:after="0"/>
              <w:rPr>
                <w:sz w:val="20"/>
                <w:szCs w:val="20"/>
                <w:color w:val="auto"/>
              </w:rPr>
            </w:pPr>
            <w:r>
              <w:rPr>
                <w:rFonts w:ascii="Arial" w:cs="Arial" w:eastAsia="Arial" w:hAnsi="Arial"/>
                <w:sz w:val="18"/>
                <w:szCs w:val="18"/>
                <w:color w:val="auto"/>
              </w:rPr>
              <w:t>(130,511)</w:t>
            </w:r>
          </w:p>
        </w:tc>
      </w:tr>
      <w:tr>
        <w:trPr>
          <w:trHeight w:val="230"/>
        </w:trPr>
        <w:tc>
          <w:tcPr>
            <w:tcW w:w="5640" w:type="dxa"/>
            <w:vAlign w:val="bottom"/>
            <w:shd w:val="clear" w:color="auto" w:fill="EEEEEE"/>
          </w:tcPr>
          <w:p>
            <w:pPr>
              <w:spacing w:after="0"/>
              <w:rPr>
                <w:sz w:val="20"/>
                <w:szCs w:val="20"/>
                <w:color w:val="auto"/>
              </w:rPr>
            </w:pPr>
            <w:r>
              <w:rPr>
                <w:rFonts w:ascii="Arial" w:cs="Arial" w:eastAsia="Arial" w:hAnsi="Arial"/>
                <w:sz w:val="18"/>
                <w:szCs w:val="18"/>
                <w:color w:val="auto"/>
              </w:rPr>
              <w:t>Net gain from discontinued operations</w:t>
            </w:r>
          </w:p>
        </w:tc>
        <w:tc>
          <w:tcPr>
            <w:tcW w:w="2020" w:type="dxa"/>
            <w:vAlign w:val="bottom"/>
            <w:shd w:val="clear" w:color="auto" w:fill="EEEEEE"/>
          </w:tcPr>
          <w:p>
            <w:pPr>
              <w:spacing w:after="0"/>
              <w:rPr>
                <w:sz w:val="19"/>
                <w:szCs w:val="19"/>
                <w:color w:val="auto"/>
              </w:rPr>
            </w:pPr>
          </w:p>
        </w:tc>
        <w:tc>
          <w:tcPr>
            <w:tcW w:w="360" w:type="dxa"/>
            <w:vAlign w:val="bottom"/>
            <w:shd w:val="clear" w:color="auto" w:fill="EEEEEE"/>
          </w:tcPr>
          <w:p>
            <w:pPr>
              <w:spacing w:after="0"/>
              <w:rPr>
                <w:sz w:val="19"/>
                <w:szCs w:val="19"/>
                <w:color w:val="auto"/>
              </w:rPr>
            </w:pPr>
          </w:p>
        </w:tc>
        <w:tc>
          <w:tcPr>
            <w:tcW w:w="154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480" w:type="dxa"/>
            <w:vAlign w:val="bottom"/>
            <w:shd w:val="clear" w:color="auto" w:fill="EEEEEE"/>
          </w:tcPr>
          <w:p>
            <w:pPr>
              <w:spacing w:after="0"/>
              <w:rPr>
                <w:sz w:val="19"/>
                <w:szCs w:val="19"/>
                <w:color w:val="auto"/>
              </w:rPr>
            </w:pPr>
          </w:p>
        </w:tc>
        <w:tc>
          <w:tcPr>
            <w:tcW w:w="120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5640" w:type="dxa"/>
            <w:vAlign w:val="bottom"/>
          </w:tcPr>
          <w:p>
            <w:pPr>
              <w:spacing w:after="0"/>
              <w:rPr>
                <w:sz w:val="20"/>
                <w:szCs w:val="20"/>
                <w:color w:val="auto"/>
              </w:rPr>
            </w:pPr>
            <w:r>
              <w:rPr>
                <w:rFonts w:ascii="Arial" w:cs="Arial" w:eastAsia="Arial" w:hAnsi="Arial"/>
                <w:sz w:val="18"/>
                <w:szCs w:val="18"/>
                <w:b w:val="1"/>
                <w:bCs w:val="1"/>
                <w:color w:val="auto"/>
              </w:rPr>
              <w:t>Net income (loss) from discontinued operations</w:t>
            </w:r>
          </w:p>
        </w:tc>
        <w:tc>
          <w:tcPr>
            <w:tcW w:w="2020" w:type="dxa"/>
            <w:vAlign w:val="bottom"/>
          </w:tcPr>
          <w:p>
            <w:pPr>
              <w:spacing w:after="0"/>
              <w:rPr>
                <w:sz w:val="19"/>
                <w:szCs w:val="19"/>
                <w:color w:val="auto"/>
              </w:rPr>
            </w:pP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(92,285</w:t>
            </w:r>
          </w:p>
        </w:tc>
        <w:tc>
          <w:tcPr>
            <w:tcW w:w="320" w:type="dxa"/>
            <w:vAlign w:val="bottom"/>
          </w:tcPr>
          <w:p>
            <w:pPr>
              <w:jc w:val="right"/>
              <w:ind w:right="181"/>
              <w:spacing w:after="0"/>
              <w:rPr>
                <w:sz w:val="20"/>
                <w:szCs w:val="20"/>
                <w:color w:val="auto"/>
              </w:rPr>
            </w:pPr>
            <w:r>
              <w:rPr>
                <w:rFonts w:ascii="Arial" w:cs="Arial" w:eastAsia="Arial" w:hAnsi="Arial"/>
                <w:sz w:val="16"/>
                <w:szCs w:val="16"/>
                <w:color w:val="auto"/>
                <w:w w:val="74"/>
              </w:rPr>
              <w:t>)</w:t>
            </w:r>
          </w:p>
        </w:tc>
        <w:tc>
          <w:tcPr>
            <w:tcW w:w="4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522,044</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564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20</w:t>
      </w:r>
      <w:r>
        <w:rPr>
          <w:sz w:val="20"/>
          <w:szCs w:val="20"/>
          <w:color w:val="auto"/>
        </w:rPr>
        <w:tab/>
      </w:r>
      <w:r>
        <w:rPr>
          <w:rFonts w:ascii="Arial" w:cs="Arial" w:eastAsia="Arial" w:hAnsi="Arial"/>
          <w:sz w:val="17"/>
          <w:szCs w:val="17"/>
          <w:b w:val="1"/>
          <w:bCs w:val="1"/>
          <w:color w:val="auto"/>
        </w:rPr>
        <w:t>SUBSEQUENT EVENT</w:t>
      </w:r>
    </w:p>
    <w:p>
      <w:pPr>
        <w:spacing w:after="0" w:line="229"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Company has evaluated subsequent events through the issuance of the unaudited condensed consolidated financial statements and except for the event discloses below, no other subsequent event is identified that would have required adjustment or disclosure in the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92" w:right="339" w:bottom="1440" w:gutter="0" w:footer="0" w:header="0"/>
        </w:sectPr>
      </w:pPr>
    </w:p>
    <w:bookmarkStart w:id="27" w:name="page28"/>
    <w:bookmarkEnd w:id="27"/>
    <w:p>
      <w:pPr>
        <w:spacing w:after="0"/>
        <w:tabs>
          <w:tab w:leader="none" w:pos="820" w:val="left"/>
        </w:tabs>
        <w:rPr>
          <w:sz w:val="20"/>
          <w:szCs w:val="20"/>
          <w:color w:val="auto"/>
        </w:rPr>
      </w:pPr>
      <w:r>
        <w:rPr>
          <w:rFonts w:ascii="Arial" w:cs="Arial" w:eastAsia="Arial" w:hAnsi="Arial"/>
          <w:sz w:val="18"/>
          <w:szCs w:val="18"/>
          <w:b w:val="1"/>
          <w:bCs w:val="1"/>
          <w:color w:val="auto"/>
        </w:rPr>
        <w:t>ITEM 2.</w:t>
      </w:r>
      <w:r>
        <w:rPr>
          <w:sz w:val="20"/>
          <w:szCs w:val="20"/>
          <w:color w:val="auto"/>
        </w:rPr>
        <w:tab/>
      </w:r>
      <w:r>
        <w:rPr>
          <w:rFonts w:ascii="Arial" w:cs="Arial" w:eastAsia="Arial" w:hAnsi="Arial"/>
          <w:sz w:val="17"/>
          <w:szCs w:val="17"/>
          <w:b w:val="1"/>
          <w:bCs w:val="1"/>
          <w:color w:val="auto"/>
        </w:rPr>
        <w:t>MANAGEMENT’S DISCUSSION AND ANALYSIS OF FINANCIAL CONDITION AND RESULTS OF OPERATIONS</w:t>
      </w:r>
    </w:p>
    <w:p>
      <w:pPr>
        <w:spacing w:after="0" w:line="229"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following discussion and analysis of our financial condition and results of operations should be read in conjunction with our unaudited consolidated financial statements and the related notes included elsewhere in this Quarterly Report on Form 10-Q. Our consolidated financial statements have been prepared in accordance with GAAP. In addition, our unaudited consolidated financial statements and the financial data included in this Quarterly Report on Form 10-Q reflect our reorganization and have been prepared as if our current corporate structure had been in place throughout the relevant periods. Actual results could differ materially from those projected in the forward-looking statements. For additional information regarding these and other risks and uncertainties, please see the items listed under the section captioned “</w:t>
      </w:r>
      <w:r>
        <w:rPr>
          <w:rFonts w:ascii="Arial" w:cs="Arial" w:eastAsia="Arial" w:hAnsi="Arial"/>
          <w:sz w:val="16"/>
          <w:szCs w:val="16"/>
          <w:i w:val="1"/>
          <w:iCs w:val="1"/>
          <w:color w:val="auto"/>
        </w:rPr>
        <w:t>Cautionary Statement Regarding Forward-Looking Statements</w:t>
      </w:r>
      <w:r>
        <w:rPr>
          <w:rFonts w:ascii="Arial" w:cs="Arial" w:eastAsia="Arial" w:hAnsi="Arial"/>
          <w:sz w:val="16"/>
          <w:szCs w:val="16"/>
          <w:color w:val="auto"/>
        </w:rPr>
        <w:t>” herein and the section captioned “</w:t>
      </w:r>
      <w:r>
        <w:rPr>
          <w:rFonts w:ascii="Arial" w:cs="Arial" w:eastAsia="Arial" w:hAnsi="Arial"/>
          <w:sz w:val="16"/>
          <w:szCs w:val="16"/>
          <w:i w:val="1"/>
          <w:iCs w:val="1"/>
          <w:color w:val="auto"/>
        </w:rPr>
        <w:t>Risk Factors</w:t>
      </w:r>
      <w:r>
        <w:rPr>
          <w:rFonts w:ascii="Arial" w:cs="Arial" w:eastAsia="Arial" w:hAnsi="Arial"/>
          <w:sz w:val="16"/>
          <w:szCs w:val="16"/>
          <w:color w:val="auto"/>
        </w:rPr>
        <w:t>” as well as any other cautionary language contained in our Annual Report on Form 10-K, as amended, for the year ended December 31, 2022 initially filed with the SEC on March 31, 2023. Except as may be required by law, we undertake no obligation to update any forward-looking statement to reflect events after the date of this Quarterly Report on Form 10-Q.</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Operations Overview</w:t>
      </w:r>
    </w:p>
    <w:p>
      <w:pPr>
        <w:spacing w:after="0" w:line="229"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As of December 31, 2019, we provide land-based recirculation aquaculture systems for fish farming. Our primary business operations consist of the design, development and production of RASs large scale fish tank systems, for fish farms along with expert consulting, technology transfer, and aquaculture project management services to new and existing aquaculture management business services. Through our branch office, we also procure and sell eel in Taiwan. In addition, as of December 2022, we sell food items, including our signature seafood porridge bowl, through our flagship bento box store located at the Ning Xia Night Market in the Datong District of Taipei City, Taiwan. On October 13, 2023, we decided to terminate the flagship bento box store by shifting retail sales focus from physical presence to online sales and developing e-commerce.</w:t>
      </w:r>
    </w:p>
    <w:p>
      <w:pPr>
        <w:spacing w:after="0" w:line="17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October 2020, the government of Taiwan began supporting the Green Power and Solar Sharing Fish Farms initiative. In view of the opportunities resulting from this initiative, in October 2020, Nocera ceased all of its operations in China and moved all of its technology and back-office operations to Taiwan. We now only operate out of Taiwan.</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spacing w:after="0" w:line="18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Effective December 31, 2020, we entered into a series of contractual agreements with Xin Feng Construction Co., Ltd., a funded limited liability company registered in Taiwan (R.O.C.), whereby we agreed to provide technical consulting and related services to XFC for RAS equipment for fish farms. XFC was engaged in the business of providing construction services to governmental and commercial buildings, including construction indoor fish farms. In November 2022, we decided to shift our focus away from construction services and on November 30, 2022, we entered into a Purchase of Business Agreement with Han-Chieh Shih (the “Purchaser”) pursuant to which we sold our controlling interest of XFC to the Purchaser for a total cash purchase price of $300,000 (the “XFC Sale”). The closing of the XFC Sale occurred on November 30, 2022 and our XFC VIE agreements were terminated in connection with the XFC Sale. As of the filing date of this Annual Report on Form 10-K, we have no intention of providing construction services for indoor RASs and solar sharing fish farms in Taiwan.</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8" w:name="page29"/>
    <w:bookmarkEnd w:id="28"/>
    <w:p>
      <w:pPr>
        <w:jc w:val="both"/>
        <w:spacing w:after="0" w:line="263" w:lineRule="auto"/>
        <w:rPr>
          <w:sz w:val="20"/>
          <w:szCs w:val="20"/>
          <w:color w:val="auto"/>
        </w:rPr>
      </w:pPr>
      <w:r>
        <w:rPr>
          <w:rFonts w:ascii="Arial" w:cs="Arial" w:eastAsia="Arial" w:hAnsi="Arial"/>
          <w:sz w:val="18"/>
          <w:szCs w:val="18"/>
          <w:color w:val="auto"/>
        </w:rPr>
        <w:t>As of September 30, 2021, we launched our first RAS demo site in Taiwan and engaged the demo site into the testing phase to raise eel. Currently, we are promoting our RASs in Taiwan and looking for opportunities to cooperate with local solar energy industry and to expand our business into the U.S. We believe the U.S. is a potentially lucrative market to penetrate.</w:t>
      </w:r>
    </w:p>
    <w:p>
      <w:pPr>
        <w:spacing w:after="0" w:line="18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September 7, 2022, we entered into a series of contractual agreements with the majority stockholder of Meixin Institutional Food Development Co., Ltd., a Taiwan corporation and a food processing and catering company, and Meixin, of which we purchased 80% controlling interest of Meixin for $4,300,000. The Meixin VIE Agreements essentially confer control and management of Meixin as well as substantially all of the economic benefits of the Selling Stockholder in Meixin to us. As a result, we have been determined to be the primary beneficiary of Meixin and Meixin became our VIE.</w:t>
      </w:r>
    </w:p>
    <w:p>
      <w:pPr>
        <w:spacing w:after="0" w:line="17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June 1, 2023, Gui Zhou Grand Smooth Technology Ltd. (“GZ GST”), one of our wholly owned subsidiaries, entered into that certain Share Purchase Agreement dated as of June 1, 2023, as amended, with Zhe Jiang Xin Shui Hu Digital Information, Ltd. (“Zhe Jiang”), pursuant to which GZ GST acquired all of the issued and outstanding equity securities of Zhe Jiang from the stockholders of Zhe Jiang (the “Zhe Jiang Acquisition”) in exchange for the issuance of 1,500,000 shares of our common stock, par value $0.001 per share. During the initial transaction process and our performing due diligence for the closing, we observed that time constraints have led to certain complexities and challenges in consummating the Acquisition within the originally planned timeframe. We are actively working with Zhe Jiang to resolve such complexities and challenges and will file a Current Report on Form 8-K if and when the Zhe Jiang Acquisition is consummated.</w:t>
      </w:r>
    </w:p>
    <w:p>
      <w:pPr>
        <w:spacing w:after="0" w:line="19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employ a sales and marketing strategy targeting Taiwan government-supported solar fish farms. We are planning on expanding our sales and marketing model through the use of online marketing, data intelligence, and the establishment of a distributor network. The online marketing and data intelligence is designed to generate sales leads internationally outside of Taiwan that can be directed to our sales department for further follow-up.</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plan to sell RAS equipment and to provide consulting services for the development of fish farms in the U.S. We expect to sell over five thousand tanks in the next five years. Our production facility is to be established in Taiwan, and we plan to sell the systems into the Americas and European countries as well.</w:t>
      </w:r>
    </w:p>
    <w:p>
      <w:pPr>
        <w:spacing w:after="0" w:line="184"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We also intend to build fish farming demo sites in the United States in 2024 to promote our fish farming systems to the global market. As of February 16, 2023, we completed the acquisition of 229 acres of land in Montgomery County, Alabama, of which we intend to build RASs on that land for fish farming.</w:t>
      </w:r>
    </w:p>
    <w:p>
      <w:pPr>
        <w:spacing w:after="0" w:line="124"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We also intend to expand the fish farming demo sites in Taiwan by adding 20 units of RAS eel farming equipment with outsourcing construction services by the end of 2023, and build the catfish farm in the US by the end of 2024 to promote our fish farming systems to the global market. As of February 16, 2023, we completed the acquisition of 229 acres of land in Montgomery County, Alabama, of which we intend to build RASs on that land for fish farming.</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Key Factors Affecting our Performance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a result of a number of factors, our historical results of operations may not be comparable to our results of operations in future periods, and our results of operations may not be directly comparable from period to period. Set forth below is a brief discussion of the key factors impacting our results of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9" w:name="page30"/>
    <w:bookmarkEnd w:id="29"/>
    <w:p>
      <w:pPr>
        <w:spacing w:after="0"/>
        <w:rPr>
          <w:sz w:val="20"/>
          <w:szCs w:val="20"/>
          <w:color w:val="auto"/>
        </w:rPr>
      </w:pPr>
      <w:r>
        <w:rPr>
          <w:rFonts w:ascii="Arial" w:cs="Arial" w:eastAsia="Arial" w:hAnsi="Arial"/>
          <w:sz w:val="18"/>
          <w:szCs w:val="18"/>
          <w:b w:val="1"/>
          <w:bCs w:val="1"/>
          <w:i w:val="1"/>
          <w:iCs w:val="1"/>
          <w:color w:val="auto"/>
        </w:rPr>
        <w:t>Known Trends and Uncertainties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Inflation</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Prices of certain commodity products, including raw materials, are historically volatile and are subject to fluctuations arising from changes in domestic and international supply and demand, labor costs, competition, market speculation, government regulations, trade restrictions and tariffs. Increasing prices in the component materials for our goods may impact the availability, the quality and the price of our products, as suppliers search for alternatives to existing materials and increase the prices they charge. Our suppliers may also fail to provide consistent quality of product as they may substitute lower cost materials to maintain pricing levels. Nocera’s cost base also reflects significant elements for freight, including fuel, which has significantly increased due to the effects of the coronavirus (COVID-19) pandemic and Russia’s military action against Ukraine. Rapid and significant changes in commodity prices such as fuel and plastic may negatively affect our profit margins if Nocera is unable to mitigate any inflationary increases through various customer pricing actions and cost reduction initiatives.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Geopolitical Conditions</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Our operations could be disrupted by geopolitical conditions, trade disputes, international boycotts and sanctions, political and social instability, acts of war, terrorist activity or other similar events. From time to time, we could have a large revenue stream associated with a particular customer or a large number of customers located in a particular geographic region. Decreased demand from a discrete event impacting a specific customer, industry, or region in which we have a concentrated exposure could negatively impact our results of operations.</w:t>
      </w:r>
    </w:p>
    <w:p>
      <w:pPr>
        <w:spacing w:after="0" w:line="17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In February 2022, Russia initiated significant military action against Ukraine. Russia’s invasion, the responses of countries and political bodies to Russia’s actions, and the potential for wider conflict may increase financial market volatility and could have adverse effects on regional and global economic markets, including the markets for certain securities and commodities. Following Russia’s actions, various countries, including the United States, Canada, the United Kingdom, Germany and France, as well as the European Union, issued broad-ranging economic sanctions against Russia. The sanctions consist of the prohibition of trading in certain Russian securities and engaging in certain private transactions, the prohibition of doing business with certain Russian corporate entities, large financial institutions, officials and persons and the freezing of Russian assets. The sanctions include a possible commitment by certain countries and the European Union to remove selected Russian banks from the Society for Worldwide Interbank Financial Telecommunications, commonly called “SWIFT,” the electronic network that connects banks globally, and imposed restrictive measures to prevent the Russian Central Bank from undermining the impact of the sanctions. A number of large corporations and U.S. states have also announced plans to curtail business dealings with certain Russian businesses.</w:t>
      </w:r>
    </w:p>
    <w:p>
      <w:pPr>
        <w:spacing w:after="0" w:line="18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imposition of the current sanctions (and potential imposition of further sanctions in response to continued Russian military activity) and other actions undertaken by countries and businesses may adversely impact various sectors of the Russian economy, and the military action has severe impacts on the Ukrainian economy, including its exports and food production. The duration of ongoing hostilities and corresponding sanctions and related events cannot be predicted and may result in a negative impact on the markets and thereby may negatively impact our business, financial condition and results of operation.</w:t>
      </w:r>
    </w:p>
    <w:p>
      <w:pPr>
        <w:spacing w:after="0" w:line="188"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In addition, while we do not have any direct operations or significant sales in the Middle East, geopolitical tensions and ongoing conflicts in the region, particularly between Israel and Palestine, may lead to global economic instability and fluctuating energy prices that could materially affect our business. It is not possible to predict the broader consequences of the Israel-Palestinian war, including related geopolitical tensions, and the measures and actions taken by other countries in respect thereof, which could materially adversely affect global trade, currency exchange rates, regional economies and the global economy. While it is difficult to predict the impact of any of the foregoing, the Israel-Palestinian war may increase our costs, disrupt our supply chain, reduce our sales and earnings, impair our ability to raise additional capital when needed on acceptable terms, if at all, or otherwise adversely affect our business, financial condition and results of operations.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i w:val="1"/>
          <w:iCs w:val="1"/>
          <w:u w:val="single" w:color="auto"/>
          <w:color w:val="auto"/>
        </w:rPr>
        <w:t>Foreign Currency</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We are also exposed to foreign exchange rate fluctuations as we convert the financial statements of our foreign subsidiaries into U.S. dollars in consolidation.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Effects of COVID-19</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COVID-19 has globally resulted in the loss of life, business closures, restrictions on travel and widespread cancellation of social gatherings. The extent to which COVID-19 impacts our business will depend on future developments, which are highly uncertain and cannot be predicted at this time, including:</w:t>
      </w:r>
    </w:p>
    <w:p>
      <w:pPr>
        <w:spacing w:after="0" w:line="124" w:lineRule="exact"/>
        <w:rPr>
          <w:sz w:val="20"/>
          <w:szCs w:val="20"/>
          <w:color w:val="auto"/>
        </w:rPr>
      </w:pPr>
    </w:p>
    <w:p>
      <w:pPr>
        <w:ind w:left="580" w:hanging="235"/>
        <w:spacing w:after="0"/>
        <w:tabs>
          <w:tab w:leader="none" w:pos="580" w:val="left"/>
        </w:tabs>
        <w:numPr>
          <w:ilvl w:val="0"/>
          <w:numId w:val="4"/>
        </w:numPr>
        <w:rPr>
          <w:rFonts w:ascii="Arial" w:cs="Arial" w:eastAsia="Arial" w:hAnsi="Arial"/>
          <w:sz w:val="18"/>
          <w:szCs w:val="18"/>
          <w:color w:val="auto"/>
        </w:rPr>
      </w:pPr>
      <w:r>
        <w:rPr>
          <w:rFonts w:ascii="Arial" w:cs="Arial" w:eastAsia="Arial" w:hAnsi="Arial"/>
          <w:sz w:val="18"/>
          <w:szCs w:val="18"/>
          <w:color w:val="auto"/>
        </w:rPr>
        <w:t>new information which may emerge concerning the severity of the disease;</w:t>
      </w:r>
    </w:p>
    <w:p>
      <w:pPr>
        <w:spacing w:after="0" w:line="225" w:lineRule="exact"/>
        <w:rPr>
          <w:rFonts w:ascii="Arial" w:cs="Arial" w:eastAsia="Arial" w:hAnsi="Arial"/>
          <w:sz w:val="18"/>
          <w:szCs w:val="18"/>
          <w:color w:val="auto"/>
        </w:rPr>
      </w:pPr>
    </w:p>
    <w:p>
      <w:pPr>
        <w:ind w:left="580" w:hanging="235"/>
        <w:spacing w:after="0"/>
        <w:tabs>
          <w:tab w:leader="none" w:pos="5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duration and spread of the outbreak;</w:t>
      </w:r>
    </w:p>
    <w:p>
      <w:pPr>
        <w:spacing w:after="0" w:line="225" w:lineRule="exact"/>
        <w:rPr>
          <w:rFonts w:ascii="Arial" w:cs="Arial" w:eastAsia="Arial" w:hAnsi="Arial"/>
          <w:sz w:val="18"/>
          <w:szCs w:val="18"/>
          <w:color w:val="auto"/>
        </w:rPr>
      </w:pPr>
    </w:p>
    <w:p>
      <w:pPr>
        <w:ind w:left="580" w:hanging="235"/>
        <w:spacing w:after="0"/>
        <w:tabs>
          <w:tab w:leader="none" w:pos="5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severity of travel restrictions imposed by geographic areas in which we operate, mandatory or voluntary business closures;</w:t>
      </w:r>
    </w:p>
    <w:p>
      <w:pPr>
        <w:spacing w:after="0" w:line="225" w:lineRule="exact"/>
        <w:rPr>
          <w:rFonts w:ascii="Arial" w:cs="Arial" w:eastAsia="Arial" w:hAnsi="Arial"/>
          <w:sz w:val="18"/>
          <w:szCs w:val="18"/>
          <w:color w:val="auto"/>
        </w:rPr>
      </w:pPr>
    </w:p>
    <w:p>
      <w:pPr>
        <w:ind w:left="580" w:right="360" w:hanging="235"/>
        <w:spacing w:after="0" w:line="277" w:lineRule="auto"/>
        <w:tabs>
          <w:tab w:leader="none" w:pos="58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regulatory actions taken in response to the pandemic, which may impact merchant operations, consumer and merchant pricing, and our product offerings;</w:t>
      </w:r>
    </w:p>
    <w:p>
      <w:pPr>
        <w:spacing w:after="0" w:line="170" w:lineRule="exact"/>
        <w:rPr>
          <w:rFonts w:ascii="Arial" w:cs="Arial" w:eastAsia="Arial" w:hAnsi="Arial"/>
          <w:sz w:val="18"/>
          <w:szCs w:val="18"/>
          <w:color w:val="auto"/>
        </w:rPr>
      </w:pPr>
    </w:p>
    <w:p>
      <w:pPr>
        <w:ind w:left="580" w:hanging="235"/>
        <w:spacing w:after="0"/>
        <w:tabs>
          <w:tab w:leader="none" w:pos="5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business disruptions that affect our workforce;</w:t>
      </w:r>
    </w:p>
    <w:p>
      <w:pPr>
        <w:spacing w:after="0" w:line="225" w:lineRule="exact"/>
        <w:rPr>
          <w:rFonts w:ascii="Arial" w:cs="Arial" w:eastAsia="Arial" w:hAnsi="Arial"/>
          <w:sz w:val="18"/>
          <w:szCs w:val="18"/>
          <w:color w:val="auto"/>
        </w:rPr>
      </w:pPr>
    </w:p>
    <w:p>
      <w:pPr>
        <w:ind w:left="580" w:hanging="235"/>
        <w:spacing w:after="0"/>
        <w:tabs>
          <w:tab w:leader="none" w:pos="58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impact on capital and financial markets; and</w:t>
      </w:r>
    </w:p>
    <w:p>
      <w:pPr>
        <w:spacing w:after="0" w:line="225" w:lineRule="exact"/>
        <w:rPr>
          <w:rFonts w:ascii="Arial" w:cs="Arial" w:eastAsia="Arial" w:hAnsi="Arial"/>
          <w:sz w:val="18"/>
          <w:szCs w:val="18"/>
          <w:color w:val="auto"/>
        </w:rPr>
      </w:pPr>
    </w:p>
    <w:p>
      <w:pPr>
        <w:ind w:left="580" w:hanging="235"/>
        <w:spacing w:after="0"/>
        <w:tabs>
          <w:tab w:leader="none" w:pos="580" w:val="left"/>
        </w:tabs>
        <w:numPr>
          <w:ilvl w:val="0"/>
          <w:numId w:val="4"/>
        </w:numPr>
        <w:rPr>
          <w:rFonts w:ascii="Arial" w:cs="Arial" w:eastAsia="Arial" w:hAnsi="Arial"/>
          <w:sz w:val="18"/>
          <w:szCs w:val="18"/>
          <w:color w:val="auto"/>
        </w:rPr>
      </w:pPr>
      <w:r>
        <w:rPr>
          <w:rFonts w:ascii="Arial" w:cs="Arial" w:eastAsia="Arial" w:hAnsi="Arial"/>
          <w:sz w:val="18"/>
          <w:szCs w:val="18"/>
          <w:color w:val="auto"/>
        </w:rPr>
        <w:t>actions taken throughout the world, including in markets in which we operate, to contain the COVID-19 outbreak or treat its impact.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addition, the any outbreak of COVID-19 may result in a widespread global health crisis and adversely affected global economies and financial markets, and similar public health threats could do so in the future.</w:t>
      </w:r>
    </w:p>
    <w:p>
      <w:pPr>
        <w:spacing w:after="0" w:line="170"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Since 2021, substantially all our revenues are concentrated in Taiwan pending expansion into other international markets. Consequently, our results of operations will likely be adversely materially affected to the extent that any COVID-19 outbreak or any epidemic harms Taiwan’s economy and society and the global economy in general. Any potential impact to our results will depend on to a large extent, future developments and new information that may emerge regarding the duration and severity of any COVID-19 outbreak and the actions taken by government authorities and other entities to contain any COVID-19 outbreak or treat its impact, almost all of which are beyond our control. If the disruptions posed by any COVID-19 outbreak or other matters of global concern continue for an extensive period of time, the operations of our business may be materially adversely affected.</w:t>
      </w:r>
    </w:p>
    <w:p>
      <w:pPr>
        <w:spacing w:after="0" w:line="16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To the extent any COVID-19 outbreak or a similar public health threat has an impact on our business, it is likely to also have the effect of heightening many of the other risks described in the “</w:t>
      </w:r>
      <w:r>
        <w:rPr>
          <w:rFonts w:ascii="Arial" w:cs="Arial" w:eastAsia="Arial" w:hAnsi="Arial"/>
          <w:sz w:val="18"/>
          <w:szCs w:val="18"/>
          <w:i w:val="1"/>
          <w:iCs w:val="1"/>
          <w:color w:val="auto"/>
        </w:rPr>
        <w:t>Risk Factors</w:t>
      </w:r>
      <w:r>
        <w:rPr>
          <w:rFonts w:ascii="Arial" w:cs="Arial" w:eastAsia="Arial" w:hAnsi="Arial"/>
          <w:sz w:val="18"/>
          <w:szCs w:val="18"/>
          <w:color w:val="auto"/>
        </w:rPr>
        <w:t>” section in Part I, Item 1A of our Annual Report on Form 10-K, as amended, for the fiscal year ended December 31, 2022 initially filed with the SEC on March 31, 2023.</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1" w:name="page32"/>
    <w:bookmarkEnd w:id="31"/>
    <w:p>
      <w:pPr>
        <w:spacing w:after="0"/>
        <w:rPr>
          <w:sz w:val="20"/>
          <w:szCs w:val="20"/>
          <w:color w:val="auto"/>
        </w:rPr>
      </w:pPr>
      <w:r>
        <w:rPr>
          <w:rFonts w:ascii="Arial" w:cs="Arial" w:eastAsia="Arial" w:hAnsi="Arial"/>
          <w:sz w:val="18"/>
          <w:szCs w:val="18"/>
          <w:b w:val="1"/>
          <w:bCs w:val="1"/>
          <w:i w:val="1"/>
          <w:iCs w:val="1"/>
          <w:color w:val="auto"/>
        </w:rPr>
        <w:t>Seasonality</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Since the global growing demand for aquaculture production along with the decreasing production from wild fisheries, our fish farming systems provide a controlled and traceable environment for fish species, and therefore our business rarely suffers a seasonal impact.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Estimates and Assumptions</w:t>
      </w:r>
    </w:p>
    <w:p>
      <w:pPr>
        <w:spacing w:after="0" w:line="229"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prepare our financial statements in conformity with GAAP, which requires us to make estimates and assumptions that affect the reported amounts of assets and liabilities, the disclosure of contingent assets and liabilities on the date of the financial statements and the reported amounts of revenues and expenses during the financial reporting period. We continually evaluate these estimates and assumptions based on the most recently available information, our own historical experience and on various other assumptions that we believe to be reasonable under the circumstances. Since the use of estimates is an integral component of the financial reporting process, actual results could differ from those estimates. Some of our accounting policies require higher degrees of judgment than others in their application. We consider the policies discussed below to be critical to an understanding of our financial statements.</w:t>
      </w:r>
    </w:p>
    <w:p>
      <w:pPr>
        <w:spacing w:after="0" w:line="16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SEC defines critical accounting policies as those that are, in management’s view, most important to the portrayal of our financial condition and results of operations and those that require significant judgments and estimates.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accounting principles we utilized in preparing our consolidated financial statements conform in all material respects to U.S GAAP.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Certain prior period amounts have been reclassified to conform with current year presentation.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Cuts and Jobs Act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2" w:name="page33"/>
    <w:bookmarkEnd w:id="32"/>
    <w:p>
      <w:pPr>
        <w:spacing w:after="0"/>
        <w:rPr>
          <w:sz w:val="20"/>
          <w:szCs w:val="20"/>
          <w:color w:val="auto"/>
        </w:rPr>
      </w:pPr>
      <w:r>
        <w:rPr>
          <w:rFonts w:ascii="Arial" w:cs="Arial" w:eastAsia="Arial" w:hAnsi="Arial"/>
          <w:sz w:val="18"/>
          <w:szCs w:val="18"/>
          <w:b w:val="1"/>
          <w:bCs w:val="1"/>
          <w:i w:val="1"/>
          <w:iCs w:val="1"/>
          <w:color w:val="auto"/>
        </w:rPr>
        <w:t>Financial Assets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classification of financial assets depends on the nature and purpose of the financial assets and is determined at the time of initial recognition. Regular way purchases or sales of financial assets are recognized and derecognized on a trade date or settlement date basis for which financial assets were classified in the same way, respectively. Regular way purchases or sales are purchases or sales of financial assets that require delivery of assets within the time frame established by regulation or convention in the marketplace.</w:t>
      </w:r>
    </w:p>
    <w:p>
      <w:pPr>
        <w:spacing w:after="0" w:line="187" w:lineRule="exact"/>
        <w:rPr>
          <w:sz w:val="20"/>
          <w:szCs w:val="20"/>
          <w:color w:val="auto"/>
        </w:rPr>
      </w:pPr>
    </w:p>
    <w:p>
      <w:pPr>
        <w:ind w:left="680" w:hanging="672"/>
        <w:spacing w:after="0"/>
        <w:tabs>
          <w:tab w:leader="none" w:pos="680" w:val="left"/>
        </w:tabs>
        <w:numPr>
          <w:ilvl w:val="0"/>
          <w:numId w:val="5"/>
        </w:numPr>
        <w:rPr>
          <w:rFonts w:ascii="Arial" w:cs="Arial" w:eastAsia="Arial" w:hAnsi="Arial"/>
          <w:sz w:val="18"/>
          <w:szCs w:val="18"/>
          <w:color w:val="auto"/>
        </w:rPr>
      </w:pPr>
      <w:r>
        <w:rPr>
          <w:rFonts w:ascii="Arial" w:cs="Arial" w:eastAsia="Arial" w:hAnsi="Arial"/>
          <w:sz w:val="18"/>
          <w:szCs w:val="18"/>
          <w:color w:val="auto"/>
        </w:rPr>
        <w:t>Category of financial assets and measurement</w:t>
      </w:r>
    </w:p>
    <w:p>
      <w:pPr>
        <w:spacing w:after="0" w:line="225" w:lineRule="exact"/>
        <w:rPr>
          <w:sz w:val="20"/>
          <w:szCs w:val="20"/>
          <w:color w:val="auto"/>
        </w:rPr>
      </w:pPr>
    </w:p>
    <w:p>
      <w:pPr>
        <w:ind w:left="660" w:right="20"/>
        <w:spacing w:after="0" w:line="277" w:lineRule="auto"/>
        <w:rPr>
          <w:sz w:val="20"/>
          <w:szCs w:val="20"/>
          <w:color w:val="auto"/>
        </w:rPr>
      </w:pPr>
      <w:r>
        <w:rPr>
          <w:rFonts w:ascii="Arial" w:cs="Arial" w:eastAsia="Arial" w:hAnsi="Arial"/>
          <w:sz w:val="18"/>
          <w:szCs w:val="18"/>
          <w:color w:val="auto"/>
        </w:rPr>
        <w:t>Financial assets are classified into the following categories: financial assets at FVTPL, investments in debt instruments and equity instruments at FVTOCI, and financial assets at amortized cost.</w:t>
      </w:r>
    </w:p>
    <w:p>
      <w:pPr>
        <w:spacing w:after="0" w:line="170" w:lineRule="exact"/>
        <w:rPr>
          <w:sz w:val="20"/>
          <w:szCs w:val="20"/>
          <w:color w:val="auto"/>
        </w:rPr>
      </w:pP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Financial asset at FVTPL</w:t>
      </w:r>
    </w:p>
    <w:p>
      <w:pPr>
        <w:spacing w:after="0" w:line="225" w:lineRule="exact"/>
        <w:rPr>
          <w:rFonts w:ascii="Arial" w:cs="Arial" w:eastAsia="Arial" w:hAnsi="Arial"/>
          <w:sz w:val="18"/>
          <w:szCs w:val="18"/>
          <w:color w:val="auto"/>
        </w:rPr>
      </w:pPr>
    </w:p>
    <w:p>
      <w:pPr>
        <w:jc w:val="both"/>
        <w:ind w:left="980"/>
        <w:spacing w:after="0" w:line="263" w:lineRule="auto"/>
        <w:rPr>
          <w:rFonts w:ascii="Arial" w:cs="Arial" w:eastAsia="Arial" w:hAnsi="Arial"/>
          <w:sz w:val="18"/>
          <w:szCs w:val="18"/>
          <w:color w:val="auto"/>
        </w:rPr>
      </w:pPr>
      <w:r>
        <w:rPr>
          <w:rFonts w:ascii="Arial" w:cs="Arial" w:eastAsia="Arial" w:hAnsi="Arial"/>
          <w:sz w:val="18"/>
          <w:szCs w:val="18"/>
          <w:color w:val="auto"/>
        </w:rPr>
        <w:t>For certain financial assets which include debt instruments that do not meet the criteria of amortized cost or FVTOCI, it is mandatorily required to measure them at FVTPL. Any gain or loss arising from remeasurement is recognized in profit or loss. The net gain or loss recognized in profit or loss incorporates any interest earned on the financial asset.</w:t>
      </w:r>
    </w:p>
    <w:p>
      <w:pPr>
        <w:spacing w:after="0" w:line="183" w:lineRule="exact"/>
        <w:rPr>
          <w:rFonts w:ascii="Arial" w:cs="Arial" w:eastAsia="Arial" w:hAnsi="Arial"/>
          <w:sz w:val="18"/>
          <w:szCs w:val="18"/>
          <w:color w:val="auto"/>
        </w:rPr>
      </w:pP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Investments in debt instruments at FVTOCI</w:t>
      </w:r>
    </w:p>
    <w:p>
      <w:pPr>
        <w:spacing w:after="0" w:line="225" w:lineRule="exact"/>
        <w:rPr>
          <w:rFonts w:ascii="Arial" w:cs="Arial" w:eastAsia="Arial" w:hAnsi="Arial"/>
          <w:sz w:val="18"/>
          <w:szCs w:val="18"/>
          <w:color w:val="auto"/>
        </w:rPr>
      </w:pPr>
    </w:p>
    <w:p>
      <w:pPr>
        <w:ind w:left="980"/>
        <w:spacing w:after="0" w:line="308" w:lineRule="auto"/>
        <w:rPr>
          <w:rFonts w:ascii="Arial" w:cs="Arial" w:eastAsia="Arial" w:hAnsi="Arial"/>
          <w:sz w:val="18"/>
          <w:szCs w:val="18"/>
          <w:color w:val="auto"/>
        </w:rPr>
      </w:pPr>
      <w:r>
        <w:rPr>
          <w:rFonts w:ascii="Arial" w:cs="Arial" w:eastAsia="Arial" w:hAnsi="Arial"/>
          <w:sz w:val="17"/>
          <w:szCs w:val="17"/>
          <w:color w:val="auto"/>
        </w:rPr>
        <w:t>Debt instruments with contractual terms specifying that cash flows are solely payments of principal and interest on the principal amount outstanding, together with objective of collecting contractual cash flows and selling the financial assets, are measured at FVTOCI.</w:t>
      </w:r>
    </w:p>
    <w:p>
      <w:pPr>
        <w:spacing w:after="0" w:line="146" w:lineRule="exact"/>
        <w:rPr>
          <w:rFonts w:ascii="Arial" w:cs="Arial" w:eastAsia="Arial" w:hAnsi="Arial"/>
          <w:sz w:val="18"/>
          <w:szCs w:val="18"/>
          <w:color w:val="auto"/>
        </w:rPr>
      </w:pPr>
    </w:p>
    <w:p>
      <w:pPr>
        <w:jc w:val="both"/>
        <w:ind w:left="980"/>
        <w:spacing w:after="0" w:line="311" w:lineRule="auto"/>
        <w:rPr>
          <w:rFonts w:ascii="Arial" w:cs="Arial" w:eastAsia="Arial" w:hAnsi="Arial"/>
          <w:sz w:val="18"/>
          <w:szCs w:val="18"/>
          <w:color w:val="auto"/>
        </w:rPr>
      </w:pPr>
      <w:r>
        <w:rPr>
          <w:rFonts w:ascii="Arial" w:cs="Arial" w:eastAsia="Arial" w:hAnsi="Arial"/>
          <w:sz w:val="16"/>
          <w:szCs w:val="16"/>
          <w:color w:val="auto"/>
        </w:rPr>
        <w:t>Interest income calculated using the effective interest method, foreign exchange gains and losses and impairment gains or losses on investments in debt instruments at FVTOCI are recognized in profit or loss. Other changes in the carrying amount of these debt instruments are recognized in other comprehensive income and will be reclassified to profit or loss when these debt instruments are disposed.</w:t>
      </w:r>
    </w:p>
    <w:p>
      <w:pPr>
        <w:spacing w:after="0" w:line="148" w:lineRule="exact"/>
        <w:rPr>
          <w:rFonts w:ascii="Arial" w:cs="Arial" w:eastAsia="Arial" w:hAnsi="Arial"/>
          <w:sz w:val="18"/>
          <w:szCs w:val="18"/>
          <w:color w:val="auto"/>
        </w:rPr>
      </w:pP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Investments in equity instruments at FVTOCI</w:t>
      </w:r>
    </w:p>
    <w:p>
      <w:pPr>
        <w:spacing w:after="0" w:line="225"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8"/>
          <w:szCs w:val="18"/>
          <w:color w:val="auto"/>
        </w:rPr>
        <w:t>On initial recognition, we may irrevocably designate investments in equity investments that is not held for trading as at FVTOCI.</w:t>
      </w:r>
    </w:p>
    <w:p>
      <w:pPr>
        <w:spacing w:after="0" w:line="225" w:lineRule="exact"/>
        <w:rPr>
          <w:rFonts w:ascii="Arial" w:cs="Arial" w:eastAsia="Arial" w:hAnsi="Arial"/>
          <w:sz w:val="18"/>
          <w:szCs w:val="18"/>
          <w:color w:val="auto"/>
        </w:rPr>
      </w:pPr>
    </w:p>
    <w:p>
      <w:pPr>
        <w:ind w:left="980"/>
        <w:spacing w:after="0" w:line="277" w:lineRule="auto"/>
        <w:rPr>
          <w:rFonts w:ascii="Arial" w:cs="Arial" w:eastAsia="Arial" w:hAnsi="Arial"/>
          <w:sz w:val="18"/>
          <w:szCs w:val="18"/>
          <w:color w:val="auto"/>
        </w:rPr>
      </w:pPr>
      <w:r>
        <w:rPr>
          <w:rFonts w:ascii="Arial" w:cs="Arial" w:eastAsia="Arial" w:hAnsi="Arial"/>
          <w:sz w:val="18"/>
          <w:szCs w:val="18"/>
          <w:color w:val="auto"/>
        </w:rPr>
        <w:t>Investments in equity instruments at FVTOCI are subsequently measured at fair value with gains and losses arising from changes in fair value recognized in other comprehensive income and accumulated in other equity.</w:t>
      </w:r>
    </w:p>
    <w:p>
      <w:pPr>
        <w:spacing w:after="0" w:line="170" w:lineRule="exact"/>
        <w:rPr>
          <w:rFonts w:ascii="Arial" w:cs="Arial" w:eastAsia="Arial" w:hAnsi="Arial"/>
          <w:sz w:val="18"/>
          <w:szCs w:val="18"/>
          <w:color w:val="auto"/>
        </w:rPr>
      </w:pPr>
    </w:p>
    <w:p>
      <w:pPr>
        <w:ind w:left="980" w:right="20"/>
        <w:spacing w:after="0" w:line="277" w:lineRule="auto"/>
        <w:rPr>
          <w:rFonts w:ascii="Arial" w:cs="Arial" w:eastAsia="Arial" w:hAnsi="Arial"/>
          <w:sz w:val="18"/>
          <w:szCs w:val="18"/>
          <w:color w:val="auto"/>
        </w:rPr>
      </w:pPr>
      <w:r>
        <w:rPr>
          <w:rFonts w:ascii="Arial" w:cs="Arial" w:eastAsia="Arial" w:hAnsi="Arial"/>
          <w:sz w:val="18"/>
          <w:szCs w:val="18"/>
          <w:color w:val="auto"/>
        </w:rPr>
        <w:t>Dividends on these investments in equity instruments at FVTOCI are recognized in profit or loss when our right to receive the dividends is established, unless our rights clearly represent a recovery of part of the cost of the investment.</w:t>
      </w:r>
    </w:p>
    <w:p>
      <w:pPr>
        <w:spacing w:after="0" w:line="170" w:lineRule="exact"/>
        <w:rPr>
          <w:rFonts w:ascii="Arial" w:cs="Arial" w:eastAsia="Arial" w:hAnsi="Arial"/>
          <w:sz w:val="18"/>
          <w:szCs w:val="18"/>
          <w:color w:val="auto"/>
        </w:rPr>
      </w:pPr>
    </w:p>
    <w:p>
      <w:pPr>
        <w:ind w:left="980" w:hanging="324"/>
        <w:spacing w:after="0"/>
        <w:tabs>
          <w:tab w:leader="none" w:pos="980" w:val="left"/>
        </w:tabs>
        <w:numPr>
          <w:ilvl w:val="0"/>
          <w:numId w:val="6"/>
        </w:numPr>
        <w:rPr>
          <w:rFonts w:ascii="Arial" w:cs="Arial" w:eastAsia="Arial" w:hAnsi="Arial"/>
          <w:sz w:val="18"/>
          <w:szCs w:val="18"/>
          <w:color w:val="auto"/>
        </w:rPr>
      </w:pPr>
      <w:r>
        <w:rPr>
          <w:rFonts w:ascii="Arial" w:cs="Arial" w:eastAsia="Arial" w:hAnsi="Arial"/>
          <w:sz w:val="18"/>
          <w:szCs w:val="18"/>
          <w:color w:val="auto"/>
        </w:rPr>
        <w:t>Measured at amortized cost</w:t>
      </w:r>
    </w:p>
    <w:p>
      <w:pPr>
        <w:spacing w:after="0" w:line="225" w:lineRule="exact"/>
        <w:rPr>
          <w:rFonts w:ascii="Arial" w:cs="Arial" w:eastAsia="Arial" w:hAnsi="Arial"/>
          <w:sz w:val="18"/>
          <w:szCs w:val="18"/>
          <w:color w:val="auto"/>
        </w:rPr>
      </w:pPr>
    </w:p>
    <w:p>
      <w:pPr>
        <w:jc w:val="both"/>
        <w:ind w:left="980"/>
        <w:spacing w:after="0" w:line="263" w:lineRule="auto"/>
        <w:rPr>
          <w:rFonts w:ascii="Arial" w:cs="Arial" w:eastAsia="Arial" w:hAnsi="Arial"/>
          <w:sz w:val="18"/>
          <w:szCs w:val="18"/>
          <w:color w:val="auto"/>
        </w:rPr>
      </w:pPr>
      <w:r>
        <w:rPr>
          <w:rFonts w:ascii="Arial" w:cs="Arial" w:eastAsia="Arial" w:hAnsi="Arial"/>
          <w:sz w:val="18"/>
          <w:szCs w:val="18"/>
          <w:color w:val="auto"/>
        </w:rPr>
        <w:t>Cash and cash equivalents, commercial paper, debt instrument investments, notes and accounts receivable (including related parties), other receivables, refundable deposits and temporary payments (including those classified under other current assets and other noncurrent assets) are measured at amortized cost.</w:t>
      </w:r>
    </w:p>
    <w:p>
      <w:pPr>
        <w:spacing w:after="0" w:line="183" w:lineRule="exact"/>
        <w:rPr>
          <w:rFonts w:ascii="Arial" w:cs="Arial" w:eastAsia="Arial" w:hAnsi="Arial"/>
          <w:sz w:val="18"/>
          <w:szCs w:val="18"/>
          <w:color w:val="auto"/>
        </w:rPr>
      </w:pPr>
    </w:p>
    <w:p>
      <w:pPr>
        <w:ind w:left="980"/>
        <w:spacing w:after="0" w:line="308" w:lineRule="auto"/>
        <w:rPr>
          <w:rFonts w:ascii="Arial" w:cs="Arial" w:eastAsia="Arial" w:hAnsi="Arial"/>
          <w:sz w:val="18"/>
          <w:szCs w:val="18"/>
          <w:color w:val="auto"/>
        </w:rPr>
      </w:pPr>
      <w:r>
        <w:rPr>
          <w:rFonts w:ascii="Arial" w:cs="Arial" w:eastAsia="Arial" w:hAnsi="Arial"/>
          <w:sz w:val="17"/>
          <w:szCs w:val="17"/>
          <w:color w:val="auto"/>
        </w:rPr>
        <w:t>Debt instruments with contractual terms specifying that cash flows are solely payments of principal and interest on the principal amount outstanding, together with objective of holding financial assets in order to collect contractual cash flows, are measured at amortized cost.</w:t>
      </w:r>
    </w:p>
    <w:p>
      <w:pPr>
        <w:spacing w:after="0" w:line="146" w:lineRule="exact"/>
        <w:rPr>
          <w:rFonts w:ascii="Arial" w:cs="Arial" w:eastAsia="Arial" w:hAnsi="Arial"/>
          <w:sz w:val="18"/>
          <w:szCs w:val="18"/>
          <w:color w:val="auto"/>
        </w:rPr>
      </w:pPr>
    </w:p>
    <w:p>
      <w:pPr>
        <w:ind w:left="980"/>
        <w:spacing w:after="0" w:line="277" w:lineRule="auto"/>
        <w:rPr>
          <w:rFonts w:ascii="Arial" w:cs="Arial" w:eastAsia="Arial" w:hAnsi="Arial"/>
          <w:sz w:val="18"/>
          <w:szCs w:val="18"/>
          <w:color w:val="auto"/>
        </w:rPr>
      </w:pPr>
      <w:r>
        <w:rPr>
          <w:rFonts w:ascii="Arial" w:cs="Arial" w:eastAsia="Arial" w:hAnsi="Arial"/>
          <w:sz w:val="18"/>
          <w:szCs w:val="18"/>
          <w:color w:val="auto"/>
        </w:rPr>
        <w:t>Subsequent to initial recognition, financial assets measured at amortized cost are measured at amortized cost, which equals to carrying amount determined by the effective interest method less any impairment loss.</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3" w:name="page34"/>
    <w:bookmarkEnd w:id="33"/>
    <w:p>
      <w:pPr>
        <w:ind w:left="660" w:hanging="652"/>
        <w:spacing w:after="0"/>
        <w:tabs>
          <w:tab w:leader="none" w:pos="660" w:val="left"/>
        </w:tabs>
        <w:numPr>
          <w:ilvl w:val="0"/>
          <w:numId w:val="7"/>
        </w:numPr>
        <w:rPr>
          <w:rFonts w:ascii="Arial" w:cs="Arial" w:eastAsia="Arial" w:hAnsi="Arial"/>
          <w:sz w:val="18"/>
          <w:szCs w:val="18"/>
          <w:color w:val="auto"/>
        </w:rPr>
      </w:pPr>
      <w:r>
        <w:rPr>
          <w:rFonts w:ascii="Arial" w:cs="Arial" w:eastAsia="Arial" w:hAnsi="Arial"/>
          <w:sz w:val="18"/>
          <w:szCs w:val="18"/>
          <w:color w:val="auto"/>
        </w:rPr>
        <w:t>Impairment of financial assets</w:t>
      </w:r>
    </w:p>
    <w:p>
      <w:pPr>
        <w:spacing w:after="0" w:line="225" w:lineRule="exact"/>
        <w:rPr>
          <w:rFonts w:ascii="Arial" w:cs="Arial" w:eastAsia="Arial" w:hAnsi="Arial"/>
          <w:sz w:val="18"/>
          <w:szCs w:val="18"/>
          <w:color w:val="auto"/>
        </w:rPr>
      </w:pPr>
    </w:p>
    <w:p>
      <w:pPr>
        <w:ind w:left="660"/>
        <w:spacing w:after="0" w:line="277" w:lineRule="auto"/>
        <w:rPr>
          <w:rFonts w:ascii="Arial" w:cs="Arial" w:eastAsia="Arial" w:hAnsi="Arial"/>
          <w:sz w:val="18"/>
          <w:szCs w:val="18"/>
          <w:color w:val="auto"/>
        </w:rPr>
      </w:pPr>
      <w:r>
        <w:rPr>
          <w:rFonts w:ascii="Arial" w:cs="Arial" w:eastAsia="Arial" w:hAnsi="Arial"/>
          <w:sz w:val="18"/>
          <w:szCs w:val="18"/>
          <w:color w:val="auto"/>
        </w:rPr>
        <w:t>At the end of each reporting period, a loss allowance for expected credit loss is recognized for financial assets at amortized cost (including accounts receivable) and for investments in debt instruments that are measured at FVTOCI.</w:t>
      </w:r>
    </w:p>
    <w:p>
      <w:pPr>
        <w:spacing w:after="0" w:line="170" w:lineRule="exact"/>
        <w:rPr>
          <w:rFonts w:ascii="Arial" w:cs="Arial" w:eastAsia="Arial" w:hAnsi="Arial"/>
          <w:sz w:val="18"/>
          <w:szCs w:val="18"/>
          <w:color w:val="auto"/>
        </w:rPr>
      </w:pPr>
    </w:p>
    <w:p>
      <w:pPr>
        <w:jc w:val="both"/>
        <w:ind w:left="660"/>
        <w:spacing w:after="0" w:line="255" w:lineRule="auto"/>
        <w:rPr>
          <w:rFonts w:ascii="Arial" w:cs="Arial" w:eastAsia="Arial" w:hAnsi="Arial"/>
          <w:sz w:val="18"/>
          <w:szCs w:val="18"/>
          <w:color w:val="auto"/>
        </w:rPr>
      </w:pPr>
      <w:r>
        <w:rPr>
          <w:rFonts w:ascii="Arial" w:cs="Arial" w:eastAsia="Arial" w:hAnsi="Arial"/>
          <w:sz w:val="18"/>
          <w:szCs w:val="18"/>
          <w:color w:val="auto"/>
        </w:rPr>
        <w:t>The loss allowance for accounts receivable is measured at an amount equal to lifetime expected credit losses. For financial assets at amortized cost and investments in debt instruments that are measured at FVTOCI, when the credit risk on the financial instrument has not increased significantly since initial recognition, a loss allowance is recognized at an amount equal to expected credit loss resulting from possible default events of a financial instrument within 12 months after the reporting date. If, on the other hand, there has been a significant increase in credit risk since initial recognition, a loss allowance is recognized at an amount equal to expected credit loss resulting from all possible default events over the expected life of a financial instrument.</w:t>
      </w:r>
    </w:p>
    <w:p>
      <w:pPr>
        <w:spacing w:after="0" w:line="192" w:lineRule="exact"/>
        <w:rPr>
          <w:rFonts w:ascii="Arial" w:cs="Arial" w:eastAsia="Arial" w:hAnsi="Arial"/>
          <w:sz w:val="18"/>
          <w:szCs w:val="18"/>
          <w:color w:val="auto"/>
        </w:rPr>
      </w:pPr>
    </w:p>
    <w:p>
      <w:pPr>
        <w:jc w:val="both"/>
        <w:ind w:left="660"/>
        <w:spacing w:after="0" w:line="263" w:lineRule="auto"/>
        <w:rPr>
          <w:rFonts w:ascii="Arial" w:cs="Arial" w:eastAsia="Arial" w:hAnsi="Arial"/>
          <w:sz w:val="18"/>
          <w:szCs w:val="18"/>
          <w:color w:val="auto"/>
        </w:rPr>
      </w:pPr>
      <w:r>
        <w:rPr>
          <w:rFonts w:ascii="Arial" w:cs="Arial" w:eastAsia="Arial" w:hAnsi="Arial"/>
          <w:sz w:val="18"/>
          <w:szCs w:val="18"/>
          <w:color w:val="auto"/>
        </w:rPr>
        <w:t>We recognize an impairment loss in profit or loss for all financial instruments with a corresponding adjustment to their carrying amount through a loss allowance account, except for investments in debt instruments that are measured at FVTOCI, for which the loss allowance is recognized in other comprehensive income and does not reduce the carrying amount of the financial asset.</w:t>
      </w:r>
    </w:p>
    <w:p>
      <w:pPr>
        <w:spacing w:after="0" w:line="183" w:lineRule="exact"/>
        <w:rPr>
          <w:rFonts w:ascii="Arial" w:cs="Arial" w:eastAsia="Arial" w:hAnsi="Arial"/>
          <w:sz w:val="18"/>
          <w:szCs w:val="18"/>
          <w:color w:val="auto"/>
        </w:rPr>
      </w:pPr>
    </w:p>
    <w:p>
      <w:pPr>
        <w:ind w:left="680" w:hanging="672"/>
        <w:spacing w:after="0"/>
        <w:tabs>
          <w:tab w:leader="none" w:pos="680" w:val="left"/>
        </w:tabs>
        <w:numPr>
          <w:ilvl w:val="0"/>
          <w:numId w:val="7"/>
        </w:numPr>
        <w:rPr>
          <w:rFonts w:ascii="Arial" w:cs="Arial" w:eastAsia="Arial" w:hAnsi="Arial"/>
          <w:sz w:val="18"/>
          <w:szCs w:val="18"/>
          <w:color w:val="auto"/>
        </w:rPr>
      </w:pPr>
      <w:r>
        <w:rPr>
          <w:rFonts w:ascii="Arial" w:cs="Arial" w:eastAsia="Arial" w:hAnsi="Arial"/>
          <w:sz w:val="18"/>
          <w:szCs w:val="18"/>
          <w:color w:val="auto"/>
        </w:rPr>
        <w:t>Derecognition of financial assets</w:t>
      </w:r>
    </w:p>
    <w:p>
      <w:pPr>
        <w:spacing w:after="0" w:line="225" w:lineRule="exact"/>
        <w:rPr>
          <w:sz w:val="20"/>
          <w:szCs w:val="20"/>
          <w:color w:val="auto"/>
        </w:rPr>
      </w:pPr>
    </w:p>
    <w:p>
      <w:pPr>
        <w:jc w:val="both"/>
        <w:ind w:left="660" w:right="20"/>
        <w:spacing w:after="0" w:line="277" w:lineRule="auto"/>
        <w:rPr>
          <w:sz w:val="20"/>
          <w:szCs w:val="20"/>
          <w:color w:val="auto"/>
        </w:rPr>
      </w:pPr>
      <w:r>
        <w:rPr>
          <w:rFonts w:ascii="Arial" w:cs="Arial" w:eastAsia="Arial" w:hAnsi="Arial"/>
          <w:sz w:val="18"/>
          <w:szCs w:val="18"/>
          <w:color w:val="auto"/>
        </w:rPr>
        <w:t>We derecognize a financial asset only when the contractual rights to the cash flows from the financial asset expire, or when it transfers the financial asset and substantially all the risks and rewards of ownership of the financial asset to another entity.</w:t>
      </w:r>
    </w:p>
    <w:p>
      <w:pPr>
        <w:spacing w:after="0" w:line="170" w:lineRule="exact"/>
        <w:rPr>
          <w:sz w:val="20"/>
          <w:szCs w:val="20"/>
          <w:color w:val="auto"/>
        </w:rPr>
      </w:pPr>
    </w:p>
    <w:p>
      <w:pPr>
        <w:jc w:val="both"/>
        <w:ind w:left="660"/>
        <w:spacing w:after="0" w:line="255" w:lineRule="auto"/>
        <w:rPr>
          <w:sz w:val="20"/>
          <w:szCs w:val="20"/>
          <w:color w:val="auto"/>
        </w:rPr>
      </w:pPr>
      <w:r>
        <w:rPr>
          <w:rFonts w:ascii="Arial" w:cs="Arial" w:eastAsia="Arial" w:hAnsi="Arial"/>
          <w:sz w:val="18"/>
          <w:szCs w:val="18"/>
          <w:color w:val="auto"/>
        </w:rPr>
        <w:t>On derecognition of a financial asset at amortized cost in its entirety, the difference between the asset’s carrying amount and the sum of the consideration received and receivable is recognized in profit or loss. On derecognition of an investment in a debt instrument at FVTOCI, the difference between the asset’s carrying amount and the sum of the consideration received and receivable and the cumulative gain or loss that had been recognized in other comprehensive income is recognized in profit or loss. However, on derecognition of an investment in an equity instrument at FVTOCI, the cumulative gain or loss that had been recognized in other comprehensive income is transferred directly to retained earnings, without recycling through profit or loss.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Measurement</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apply ASC Topic 820, Fair Value Measurements and Disclosures which defines fair value, establishes a framework for measuring fair value and expands financial statement disclosure requirements for fair value measurements.</w:t>
      </w:r>
    </w:p>
    <w:p>
      <w:pPr>
        <w:spacing w:after="0" w:line="170"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4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ASC Topic 820 specifies a hierarchy of valuation techniques, which is based on whether the inputs into the valuation technique are observable or unobservable. The hierarchy is as follows:</w:t>
      </w:r>
    </w:p>
    <w:p>
      <w:pPr>
        <w:spacing w:after="0" w:line="170" w:lineRule="exact"/>
        <w:rPr>
          <w:sz w:val="20"/>
          <w:szCs w:val="20"/>
          <w:color w:val="auto"/>
        </w:rPr>
      </w:pPr>
    </w:p>
    <w:p>
      <w:pPr>
        <w:ind w:left="660" w:hanging="328"/>
        <w:spacing w:after="0"/>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Level 1 inputs to the valuation methodology are quoted prices (unadjusted) for identical assets or liabilities in active markets.</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8"/>
        </w:numPr>
        <w:rPr>
          <w:rFonts w:ascii="Arial" w:cs="Arial" w:eastAsia="Arial" w:hAnsi="Arial"/>
          <w:sz w:val="18"/>
          <w:szCs w:val="18"/>
          <w:color w:val="auto"/>
        </w:rPr>
      </w:pPr>
      <w:r>
        <w:rPr>
          <w:rFonts w:ascii="Arial" w:cs="Arial" w:eastAsia="Arial" w:hAnsi="Arial"/>
          <w:sz w:val="18"/>
          <w:szCs w:val="18"/>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70" w:lineRule="exact"/>
        <w:rPr>
          <w:rFonts w:ascii="Arial" w:cs="Arial" w:eastAsia="Arial" w:hAnsi="Arial"/>
          <w:sz w:val="18"/>
          <w:szCs w:val="18"/>
          <w:color w:val="auto"/>
        </w:rPr>
      </w:pPr>
    </w:p>
    <w:p>
      <w:pPr>
        <w:ind w:left="660" w:hanging="328"/>
        <w:spacing w:after="0" w:line="308" w:lineRule="auto"/>
        <w:tabs>
          <w:tab w:leader="none" w:pos="660" w:val="left"/>
        </w:tabs>
        <w:numPr>
          <w:ilvl w:val="0"/>
          <w:numId w:val="8"/>
        </w:numPr>
        <w:rPr>
          <w:rFonts w:ascii="Arial" w:cs="Arial" w:eastAsia="Arial" w:hAnsi="Arial"/>
          <w:sz w:val="17"/>
          <w:szCs w:val="17"/>
          <w:color w:val="auto"/>
        </w:rPr>
      </w:pPr>
      <w:r>
        <w:rPr>
          <w:rFonts w:ascii="Arial" w:cs="Arial" w:eastAsia="Arial" w:hAnsi="Arial"/>
          <w:sz w:val="17"/>
          <w:szCs w:val="17"/>
          <w:color w:val="auto"/>
        </w:rPr>
        <w:t>Level 3 inputs to the valuation methodology are unobservable and significant to the fair value. Unobservable inputs are valuation technique inputs that reflect our own assumptions about the assumptions that market participants would use in pricing an asset or liability.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4" w:name="page35"/>
    <w:bookmarkEnd w:id="34"/>
    <w:p>
      <w:pPr>
        <w:jc w:val="both"/>
        <w:spacing w:after="0" w:line="277" w:lineRule="auto"/>
        <w:rPr>
          <w:sz w:val="20"/>
          <w:szCs w:val="20"/>
          <w:color w:val="auto"/>
        </w:rPr>
      </w:pPr>
      <w:r>
        <w:rPr>
          <w:rFonts w:ascii="Arial" w:cs="Arial" w:eastAsia="Arial" w:hAnsi="Arial"/>
          <w:sz w:val="18"/>
          <w:szCs w:val="18"/>
          <w:color w:val="auto"/>
        </w:rPr>
        <w:t>Our management is responsible for determining the assets acquired, liabilities assumed and intangibles identified as of the acquisition date and considered a number of factors including valuations from an independent appraiser.</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When available, we use quoted market prices to determine the fair value of an asset or liability. If quoted market prices are not available, we measure fair value using valuation techniques that use, when possible, current market-based or independently sourced market parameters, such as interest rates and currency rates.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Cash and cash equivalents include all cash on hand and cash in bank with no restrictions. The balance of cash as of September 30, 2023 and 2022 were $1,281,258 and $2,203,592,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 Net</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Accounts receivable are stated at the original amount less an allowance for doubtful accounts, if any, based on a review of all outstanding amounts at period end. An allowance is also made when there is objective evidence that we will not be able to collect all amounts due according to the original terms of the receivables. We analyze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Prepaid Expenses and Other Assets, Net</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Prepaid expense and other assets, net consist of receivable from prepaid rent,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Inventories</w:t>
      </w:r>
    </w:p>
    <w:p>
      <w:pPr>
        <w:spacing w:after="0" w:line="225"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i w:val="1"/>
          <w:iCs w:val="1"/>
          <w:color w:val="auto"/>
        </w:rPr>
        <w:t>Property and Equipment, Net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Depreciation of property and equipment is provided using the straight-line method over their estimated useful lives, which are shown as follows.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180" w:type="dxa"/>
            <w:vAlign w:val="bottom"/>
            <w:tcBorders>
              <w:bottom w:val="single" w:sz="8" w:color="EEEEEE"/>
            </w:tcBorders>
          </w:tcPr>
          <w:p>
            <w:pPr>
              <w:spacing w:after="0"/>
              <w:rPr>
                <w:sz w:val="20"/>
                <w:szCs w:val="20"/>
                <w:color w:val="auto"/>
              </w:rPr>
            </w:pPr>
          </w:p>
        </w:tc>
        <w:tc>
          <w:tcPr>
            <w:tcW w:w="6060" w:type="dxa"/>
            <w:vAlign w:val="bottom"/>
            <w:tcBorders>
              <w:bottom w:val="single" w:sz="8" w:color="auto"/>
            </w:tcBorders>
          </w:tcPr>
          <w:p>
            <w:pPr>
              <w:jc w:val="right"/>
              <w:ind w:right="2550"/>
              <w:spacing w:after="0"/>
              <w:rPr>
                <w:sz w:val="20"/>
                <w:szCs w:val="20"/>
                <w:color w:val="auto"/>
              </w:rPr>
            </w:pPr>
            <w:r>
              <w:rPr>
                <w:rFonts w:ascii="Arial" w:cs="Arial" w:eastAsia="Arial" w:hAnsi="Arial"/>
                <w:sz w:val="18"/>
                <w:szCs w:val="18"/>
                <w:b w:val="1"/>
                <w:bCs w:val="1"/>
                <w:color w:val="auto"/>
              </w:rPr>
              <w:t>Useful life</w:t>
            </w:r>
          </w:p>
        </w:tc>
      </w:tr>
      <w:tr>
        <w:trPr>
          <w:trHeight w:val="209"/>
        </w:trPr>
        <w:tc>
          <w:tcPr>
            <w:tcW w:w="5180" w:type="dxa"/>
            <w:vAlign w:val="bottom"/>
            <w:shd w:val="clear" w:color="auto" w:fill="EEEEEE"/>
          </w:tcPr>
          <w:p>
            <w:pPr>
              <w:spacing w:after="0"/>
              <w:rPr>
                <w:sz w:val="20"/>
                <w:szCs w:val="20"/>
                <w:color w:val="auto"/>
              </w:rPr>
            </w:pPr>
            <w:r>
              <w:rPr>
                <w:rFonts w:ascii="Arial" w:cs="Arial" w:eastAsia="Arial" w:hAnsi="Arial"/>
                <w:sz w:val="18"/>
                <w:szCs w:val="18"/>
                <w:color w:val="auto"/>
              </w:rPr>
              <w:t>Leasehold improvements</w:t>
            </w:r>
          </w:p>
        </w:tc>
        <w:tc>
          <w:tcPr>
            <w:tcW w:w="60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Shorter of the remaining lease terms and estimated useful lives</w:t>
            </w:r>
          </w:p>
        </w:tc>
      </w:tr>
      <w:tr>
        <w:trPr>
          <w:trHeight w:val="216"/>
        </w:trPr>
        <w:tc>
          <w:tcPr>
            <w:tcW w:w="5180" w:type="dxa"/>
            <w:vAlign w:val="bottom"/>
          </w:tcPr>
          <w:p>
            <w:pPr>
              <w:spacing w:after="0"/>
              <w:rPr>
                <w:sz w:val="20"/>
                <w:szCs w:val="20"/>
                <w:color w:val="auto"/>
              </w:rPr>
            </w:pPr>
            <w:r>
              <w:rPr>
                <w:rFonts w:ascii="Arial" w:cs="Arial" w:eastAsia="Arial" w:hAnsi="Arial"/>
                <w:sz w:val="18"/>
                <w:szCs w:val="18"/>
                <w:color w:val="auto"/>
              </w:rPr>
              <w:t>Land</w:t>
            </w:r>
          </w:p>
        </w:tc>
        <w:tc>
          <w:tcPr>
            <w:tcW w:w="6060" w:type="dxa"/>
            <w:vAlign w:val="bottom"/>
          </w:tcPr>
          <w:p>
            <w:pPr>
              <w:jc w:val="right"/>
              <w:spacing w:after="0"/>
              <w:rPr>
                <w:sz w:val="20"/>
                <w:szCs w:val="20"/>
                <w:color w:val="auto"/>
              </w:rPr>
            </w:pPr>
            <w:r>
              <w:rPr>
                <w:rFonts w:ascii="Arial" w:cs="Arial" w:eastAsia="Arial" w:hAnsi="Arial"/>
                <w:sz w:val="18"/>
                <w:szCs w:val="18"/>
                <w:color w:val="auto"/>
              </w:rPr>
              <w:t>Indefinite, as per land titles</w:t>
            </w:r>
          </w:p>
        </w:tc>
      </w:tr>
      <w:tr>
        <w:trPr>
          <w:trHeight w:val="216"/>
        </w:trPr>
        <w:tc>
          <w:tcPr>
            <w:tcW w:w="5180" w:type="dxa"/>
            <w:vAlign w:val="bottom"/>
            <w:shd w:val="clear" w:color="auto" w:fill="EEEEEE"/>
          </w:tcPr>
          <w:p>
            <w:pPr>
              <w:spacing w:after="0"/>
              <w:rPr>
                <w:sz w:val="20"/>
                <w:szCs w:val="20"/>
                <w:color w:val="auto"/>
              </w:rPr>
            </w:pPr>
            <w:r>
              <w:rPr>
                <w:rFonts w:ascii="Arial" w:cs="Arial" w:eastAsia="Arial" w:hAnsi="Arial"/>
                <w:sz w:val="18"/>
                <w:szCs w:val="18"/>
                <w:color w:val="auto"/>
              </w:rPr>
              <w:t>Furniture and fixture</w:t>
            </w:r>
          </w:p>
        </w:tc>
        <w:tc>
          <w:tcPr>
            <w:tcW w:w="60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 years</w:t>
            </w:r>
          </w:p>
        </w:tc>
      </w:tr>
      <w:tr>
        <w:trPr>
          <w:trHeight w:val="216"/>
        </w:trPr>
        <w:tc>
          <w:tcPr>
            <w:tcW w:w="5180" w:type="dxa"/>
            <w:vAlign w:val="bottom"/>
          </w:tcPr>
          <w:p>
            <w:pPr>
              <w:spacing w:after="0"/>
              <w:rPr>
                <w:sz w:val="20"/>
                <w:szCs w:val="20"/>
                <w:color w:val="auto"/>
              </w:rPr>
            </w:pPr>
            <w:r>
              <w:rPr>
                <w:rFonts w:ascii="Arial" w:cs="Arial" w:eastAsia="Arial" w:hAnsi="Arial"/>
                <w:sz w:val="18"/>
                <w:szCs w:val="18"/>
                <w:color w:val="auto"/>
              </w:rPr>
              <w:t>Equipment</w:t>
            </w:r>
          </w:p>
        </w:tc>
        <w:tc>
          <w:tcPr>
            <w:tcW w:w="6060" w:type="dxa"/>
            <w:vAlign w:val="bottom"/>
          </w:tcPr>
          <w:p>
            <w:pPr>
              <w:jc w:val="right"/>
              <w:spacing w:after="0"/>
              <w:rPr>
                <w:sz w:val="20"/>
                <w:szCs w:val="20"/>
                <w:color w:val="auto"/>
              </w:rPr>
            </w:pPr>
            <w:r>
              <w:rPr>
                <w:rFonts w:ascii="Arial" w:cs="Arial" w:eastAsia="Arial" w:hAnsi="Arial"/>
                <w:sz w:val="18"/>
                <w:szCs w:val="18"/>
                <w:color w:val="auto"/>
              </w:rPr>
              <w:t>3 years</w:t>
            </w:r>
          </w:p>
        </w:tc>
      </w:tr>
      <w:tr>
        <w:trPr>
          <w:trHeight w:val="216"/>
        </w:trPr>
        <w:tc>
          <w:tcPr>
            <w:tcW w:w="5180" w:type="dxa"/>
            <w:vAlign w:val="bottom"/>
            <w:shd w:val="clear" w:color="auto" w:fill="EEEEEE"/>
          </w:tcPr>
          <w:p>
            <w:pPr>
              <w:spacing w:after="0"/>
              <w:rPr>
                <w:sz w:val="20"/>
                <w:szCs w:val="20"/>
                <w:color w:val="auto"/>
              </w:rPr>
            </w:pPr>
            <w:r>
              <w:rPr>
                <w:rFonts w:ascii="Arial" w:cs="Arial" w:eastAsia="Arial" w:hAnsi="Arial"/>
                <w:sz w:val="18"/>
                <w:szCs w:val="18"/>
                <w:color w:val="auto"/>
              </w:rPr>
              <w:t>Machinery</w:t>
            </w:r>
          </w:p>
        </w:tc>
        <w:tc>
          <w:tcPr>
            <w:tcW w:w="60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 years</w:t>
            </w:r>
          </w:p>
        </w:tc>
      </w:tr>
      <w:tr>
        <w:trPr>
          <w:trHeight w:val="230"/>
        </w:trPr>
        <w:tc>
          <w:tcPr>
            <w:tcW w:w="5180" w:type="dxa"/>
            <w:vAlign w:val="bottom"/>
          </w:tcPr>
          <w:p>
            <w:pPr>
              <w:spacing w:after="0"/>
              <w:rPr>
                <w:sz w:val="20"/>
                <w:szCs w:val="20"/>
                <w:color w:val="auto"/>
              </w:rPr>
            </w:pPr>
            <w:r>
              <w:rPr>
                <w:rFonts w:ascii="Arial" w:cs="Arial" w:eastAsia="Arial" w:hAnsi="Arial"/>
                <w:sz w:val="18"/>
                <w:szCs w:val="18"/>
                <w:color w:val="auto"/>
              </w:rPr>
              <w:t>Vehicle</w:t>
            </w:r>
          </w:p>
        </w:tc>
        <w:tc>
          <w:tcPr>
            <w:tcW w:w="6060" w:type="dxa"/>
            <w:vAlign w:val="bottom"/>
          </w:tcPr>
          <w:p>
            <w:pPr>
              <w:jc w:val="right"/>
              <w:spacing w:after="0"/>
              <w:rPr>
                <w:sz w:val="20"/>
                <w:szCs w:val="20"/>
                <w:color w:val="auto"/>
              </w:rPr>
            </w:pPr>
            <w:r>
              <w:rPr>
                <w:rFonts w:ascii="Arial" w:cs="Arial" w:eastAsia="Arial" w:hAnsi="Arial"/>
                <w:sz w:val="18"/>
                <w:szCs w:val="18"/>
                <w:color w:val="auto"/>
              </w:rPr>
              <w:t>5 years</w:t>
            </w:r>
          </w:p>
        </w:tc>
      </w:tr>
    </w:tbl>
    <w:p>
      <w:pPr>
        <w:spacing w:after="0" w:line="200" w:lineRule="exact"/>
        <w:rPr>
          <w:sz w:val="20"/>
          <w:szCs w:val="20"/>
          <w:color w:val="auto"/>
        </w:rPr>
      </w:pPr>
    </w:p>
    <w:p>
      <w:pPr>
        <w:spacing w:after="0" w:line="203"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Upon sale or disposal, the applicable amounts of asset cost and accumulated depreciation are removed from the accounts and the net amount less proceeds from disposal is charged or credited to income.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Combination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acquisition-date fair value of the identifiable net assets acquired exceeds the fair value of the consideration transferred plus any noncontrolling interest in the acquiree, that excess in earnings is recognized as a gain attributable to the acquirer.</w:t>
      </w:r>
    </w:p>
    <w:p>
      <w:pPr>
        <w:spacing w:after="0" w:line="188"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Entity</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 variable interest entity (“VIE”) is an entity (investee) in which the investor has obtained a controlling interest even if it has less than a majority of voting rights, according to the Financial Accounting Standards Board (FASB). A VIE is subject to consolidation if a VIE meets one of the following three criteria as elaborated in ASC Topic 810-10, Consolidation:</w:t>
      </w:r>
    </w:p>
    <w:p>
      <w:pPr>
        <w:spacing w:after="0" w:line="184" w:lineRule="exact"/>
        <w:rPr>
          <w:sz w:val="20"/>
          <w:szCs w:val="20"/>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equity-at-risk is not sufficient to support the entity’s activities;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as a group, the equity-at-risk holders cannot control the entity; or</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the economics do not coincide with the voting interest.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6" w:name="page37"/>
    <w:bookmarkEnd w:id="36"/>
    <w:p>
      <w:pPr>
        <w:jc w:val="both"/>
        <w:spacing w:after="0" w:line="263" w:lineRule="auto"/>
        <w:rPr>
          <w:sz w:val="20"/>
          <w:szCs w:val="20"/>
          <w:color w:val="auto"/>
        </w:rPr>
      </w:pPr>
      <w:r>
        <w:rPr>
          <w:rFonts w:ascii="Arial" w:cs="Arial" w:eastAsia="Arial" w:hAnsi="Arial"/>
          <w:sz w:val="18"/>
          <w:szCs w:val="18"/>
          <w:color w:val="auto"/>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Since the VIE agreements with XFC were terminated in November 30, 2022, and XFC was accounted for a discontinued operations for the year ended December 31, 2022, the following financial statement balances and amounts reflect the financial position and financial performances of Meixin and XFC respectively, which were included in the consolidated financial statements as of December 31, 2022 and 2021, and for the years ended December 31, 2022 and 2021, after elimination of intercompany transactions and balances: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6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2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w w:val="95"/>
              </w:rPr>
              <w:t>December 31,</w:t>
            </w:r>
          </w:p>
        </w:tc>
        <w:tc>
          <w:tcPr>
            <w:tcW w:w="180" w:type="dxa"/>
            <w:vAlign w:val="bottom"/>
          </w:tcPr>
          <w:p>
            <w:pPr>
              <w:spacing w:after="0"/>
              <w:rPr>
                <w:sz w:val="18"/>
                <w:szCs w:val="18"/>
                <w:color w:val="auto"/>
              </w:rPr>
            </w:pPr>
          </w:p>
        </w:tc>
        <w:tc>
          <w:tcPr>
            <w:tcW w:w="1500" w:type="dxa"/>
            <w:vAlign w:val="bottom"/>
            <w:gridSpan w:val="2"/>
          </w:tcPr>
          <w:p>
            <w:pPr>
              <w:ind w:left="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7660" w:type="dxa"/>
            <w:vAlign w:val="bottom"/>
            <w:tcBorders>
              <w:bottom w:val="single" w:sz="8" w:color="EEEEEE"/>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320" w:type="dxa"/>
            <w:vAlign w:val="bottom"/>
            <w:tcBorders>
              <w:bottom w:val="single" w:sz="8" w:color="EEEEEE"/>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EEEEEE"/>
            </w:tcBorders>
          </w:tcPr>
          <w:p>
            <w:pPr>
              <w:spacing w:after="0"/>
              <w:rPr>
                <w:sz w:val="20"/>
                <w:szCs w:val="20"/>
                <w:color w:val="auto"/>
              </w:rPr>
            </w:pPr>
          </w:p>
        </w:tc>
      </w:tr>
      <w:tr>
        <w:trPr>
          <w:trHeight w:val="210"/>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Cash</w:t>
            </w:r>
          </w:p>
        </w:tc>
        <w:tc>
          <w:tcPr>
            <w:tcW w:w="1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42,800</w:t>
            </w:r>
          </w:p>
        </w:tc>
        <w:tc>
          <w:tcPr>
            <w:tcW w:w="32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340,332</w:t>
            </w:r>
          </w:p>
        </w:tc>
        <w:tc>
          <w:tcPr>
            <w:tcW w:w="100" w:type="dxa"/>
            <w:vAlign w:val="bottom"/>
            <w:shd w:val="clear" w:color="auto" w:fill="EEEEEE"/>
          </w:tcPr>
          <w:p>
            <w:pPr>
              <w:spacing w:after="0"/>
              <w:rPr>
                <w:sz w:val="18"/>
                <w:szCs w:val="18"/>
                <w:color w:val="auto"/>
              </w:rPr>
            </w:pP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Account receivables</w:t>
            </w:r>
          </w:p>
        </w:tc>
        <w:tc>
          <w:tcPr>
            <w:tcW w:w="180" w:type="dxa"/>
            <w:vAlign w:val="bottom"/>
          </w:tcPr>
          <w:p>
            <w:pPr>
              <w:spacing w:after="0"/>
              <w:rPr>
                <w:sz w:val="18"/>
                <w:szCs w:val="18"/>
                <w:color w:val="auto"/>
              </w:rPr>
            </w:pPr>
          </w:p>
        </w:tc>
        <w:tc>
          <w:tcPr>
            <w:tcW w:w="1720" w:type="dxa"/>
            <w:vAlign w:val="bottom"/>
            <w:gridSpan w:val="2"/>
          </w:tcPr>
          <w:p>
            <w:pPr>
              <w:jc w:val="right"/>
              <w:ind w:right="320"/>
              <w:spacing w:after="0"/>
              <w:rPr>
                <w:sz w:val="20"/>
                <w:szCs w:val="20"/>
                <w:color w:val="auto"/>
              </w:rPr>
            </w:pPr>
            <w:r>
              <w:rPr>
                <w:rFonts w:ascii="Arial" w:cs="Arial" w:eastAsia="Arial" w:hAnsi="Arial"/>
                <w:sz w:val="18"/>
                <w:szCs w:val="18"/>
                <w:color w:val="auto"/>
              </w:rPr>
              <w:t>100,302</w:t>
            </w:r>
          </w:p>
        </w:tc>
        <w:tc>
          <w:tcPr>
            <w:tcW w:w="180" w:type="dxa"/>
            <w:vAlign w:val="bottom"/>
          </w:tcPr>
          <w:p>
            <w:pPr>
              <w:spacing w:after="0"/>
              <w:rPr>
                <w:sz w:val="18"/>
                <w:szCs w:val="18"/>
                <w:color w:val="auto"/>
              </w:rPr>
            </w:pPr>
          </w:p>
        </w:tc>
        <w:tc>
          <w:tcPr>
            <w:tcW w:w="15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Other receivables</w:t>
            </w:r>
          </w:p>
        </w:tc>
        <w:tc>
          <w:tcPr>
            <w:tcW w:w="180" w:type="dxa"/>
            <w:vAlign w:val="bottom"/>
            <w:shd w:val="clear" w:color="auto" w:fill="EEEEEE"/>
          </w:tcPr>
          <w:p>
            <w:pPr>
              <w:spacing w:after="0"/>
              <w:rPr>
                <w:sz w:val="18"/>
                <w:szCs w:val="18"/>
                <w:color w:val="auto"/>
              </w:rPr>
            </w:pPr>
          </w:p>
        </w:tc>
        <w:tc>
          <w:tcPr>
            <w:tcW w:w="172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1,622,110</w:t>
            </w: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Prepayment</w:t>
            </w:r>
          </w:p>
        </w:tc>
        <w:tc>
          <w:tcPr>
            <w:tcW w:w="180" w:type="dxa"/>
            <w:vAlign w:val="bottom"/>
          </w:tcPr>
          <w:p>
            <w:pPr>
              <w:spacing w:after="0"/>
              <w:rPr>
                <w:sz w:val="18"/>
                <w:szCs w:val="18"/>
                <w:color w:val="auto"/>
              </w:rPr>
            </w:pPr>
          </w:p>
        </w:tc>
        <w:tc>
          <w:tcPr>
            <w:tcW w:w="17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500" w:type="dxa"/>
            <w:vAlign w:val="bottom"/>
            <w:gridSpan w:val="2"/>
          </w:tcPr>
          <w:p>
            <w:pPr>
              <w:jc w:val="right"/>
              <w:ind w:right="100"/>
              <w:spacing w:after="0"/>
              <w:rPr>
                <w:sz w:val="20"/>
                <w:szCs w:val="20"/>
                <w:color w:val="auto"/>
              </w:rPr>
            </w:pPr>
            <w:r>
              <w:rPr>
                <w:rFonts w:ascii="Arial" w:cs="Arial" w:eastAsia="Arial" w:hAnsi="Arial"/>
                <w:sz w:val="18"/>
                <w:szCs w:val="18"/>
                <w:color w:val="auto"/>
              </w:rPr>
              <w:t>72,995</w:t>
            </w:r>
          </w:p>
        </w:tc>
      </w:tr>
      <w:tr>
        <w:trPr>
          <w:trHeight w:val="216"/>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Inventories</w:t>
            </w:r>
          </w:p>
        </w:tc>
        <w:tc>
          <w:tcPr>
            <w:tcW w:w="180" w:type="dxa"/>
            <w:vAlign w:val="bottom"/>
            <w:shd w:val="clear" w:color="auto" w:fill="EEEEEE"/>
          </w:tcPr>
          <w:p>
            <w:pPr>
              <w:spacing w:after="0"/>
              <w:rPr>
                <w:sz w:val="18"/>
                <w:szCs w:val="18"/>
                <w:color w:val="auto"/>
              </w:rPr>
            </w:pPr>
          </w:p>
        </w:tc>
        <w:tc>
          <w:tcPr>
            <w:tcW w:w="172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1,303</w:t>
            </w:r>
          </w:p>
        </w:tc>
        <w:tc>
          <w:tcPr>
            <w:tcW w:w="18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1,391,518</w:t>
            </w:r>
          </w:p>
        </w:tc>
      </w:tr>
      <w:tr>
        <w:trPr>
          <w:trHeight w:val="216"/>
        </w:trPr>
        <w:tc>
          <w:tcPr>
            <w:tcW w:w="766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180" w:type="dxa"/>
            <w:vAlign w:val="bottom"/>
          </w:tcPr>
          <w:p>
            <w:pPr>
              <w:spacing w:after="0"/>
              <w:rPr>
                <w:sz w:val="18"/>
                <w:szCs w:val="18"/>
                <w:color w:val="auto"/>
              </w:rPr>
            </w:pPr>
          </w:p>
        </w:tc>
        <w:tc>
          <w:tcPr>
            <w:tcW w:w="1720" w:type="dxa"/>
            <w:vAlign w:val="bottom"/>
            <w:gridSpan w:val="2"/>
          </w:tcPr>
          <w:p>
            <w:pPr>
              <w:jc w:val="right"/>
              <w:ind w:right="320"/>
              <w:spacing w:after="0"/>
              <w:rPr>
                <w:sz w:val="20"/>
                <w:szCs w:val="20"/>
                <w:color w:val="auto"/>
              </w:rPr>
            </w:pPr>
            <w:r>
              <w:rPr>
                <w:rFonts w:ascii="Arial" w:cs="Arial" w:eastAsia="Arial" w:hAnsi="Arial"/>
                <w:sz w:val="18"/>
                <w:szCs w:val="18"/>
                <w:color w:val="auto"/>
              </w:rPr>
              <w:t>820,579</w:t>
            </w:r>
          </w:p>
        </w:tc>
        <w:tc>
          <w:tcPr>
            <w:tcW w:w="180" w:type="dxa"/>
            <w:vAlign w:val="bottom"/>
          </w:tcPr>
          <w:p>
            <w:pPr>
              <w:spacing w:after="0"/>
              <w:rPr>
                <w:sz w:val="18"/>
                <w:szCs w:val="18"/>
                <w:color w:val="auto"/>
              </w:rPr>
            </w:pPr>
          </w:p>
        </w:tc>
        <w:tc>
          <w:tcPr>
            <w:tcW w:w="1500" w:type="dxa"/>
            <w:vAlign w:val="bottom"/>
            <w:gridSpan w:val="2"/>
          </w:tcPr>
          <w:p>
            <w:pPr>
              <w:jc w:val="right"/>
              <w:ind w:right="100"/>
              <w:spacing w:after="0"/>
              <w:rPr>
                <w:sz w:val="20"/>
                <w:szCs w:val="20"/>
                <w:color w:val="auto"/>
              </w:rPr>
            </w:pPr>
            <w:r>
              <w:rPr>
                <w:rFonts w:ascii="Arial" w:cs="Arial" w:eastAsia="Arial" w:hAnsi="Arial"/>
                <w:sz w:val="18"/>
                <w:szCs w:val="18"/>
                <w:color w:val="auto"/>
              </w:rPr>
              <w:t>47,113</w:t>
            </w:r>
          </w:p>
        </w:tc>
      </w:tr>
      <w:tr>
        <w:trPr>
          <w:trHeight w:val="230"/>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Other noncurrent assets</w:t>
            </w:r>
          </w:p>
        </w:tc>
        <w:tc>
          <w:tcPr>
            <w:tcW w:w="180" w:type="dxa"/>
            <w:vAlign w:val="bottom"/>
            <w:shd w:val="clear" w:color="auto" w:fill="EEEEEE"/>
          </w:tcPr>
          <w:p>
            <w:pPr>
              <w:spacing w:after="0"/>
              <w:rPr>
                <w:sz w:val="19"/>
                <w:szCs w:val="19"/>
                <w:color w:val="auto"/>
              </w:rPr>
            </w:pPr>
          </w:p>
        </w:tc>
        <w:tc>
          <w:tcPr>
            <w:tcW w:w="172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9"/>
                <w:szCs w:val="19"/>
                <w:color w:val="auto"/>
              </w:rPr>
            </w:pPr>
          </w:p>
        </w:tc>
        <w:tc>
          <w:tcPr>
            <w:tcW w:w="150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69,489</w:t>
            </w:r>
          </w:p>
        </w:tc>
      </w:tr>
      <w:tr>
        <w:trPr>
          <w:trHeight w:val="263"/>
        </w:trPr>
        <w:tc>
          <w:tcPr>
            <w:tcW w:w="7660" w:type="dxa"/>
            <w:vAlign w:val="bottom"/>
            <w:tcBorders>
              <w:bottom w:val="single" w:sz="8" w:color="EEEEEE"/>
            </w:tcBorders>
          </w:tcPr>
          <w:p>
            <w:pPr>
              <w:spacing w:after="0"/>
              <w:rPr>
                <w:sz w:val="20"/>
                <w:szCs w:val="20"/>
                <w:color w:val="auto"/>
              </w:rPr>
            </w:pPr>
            <w:r>
              <w:rPr>
                <w:rFonts w:ascii="Arial" w:cs="Arial" w:eastAsia="Arial" w:hAnsi="Arial"/>
                <w:sz w:val="18"/>
                <w:szCs w:val="18"/>
                <w:b w:val="1"/>
                <w:bCs w:val="1"/>
                <w:color w:val="auto"/>
              </w:rPr>
              <w:t>Total Assets</w:t>
            </w:r>
          </w:p>
        </w:tc>
        <w:tc>
          <w:tcPr>
            <w:tcW w:w="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946,984</w:t>
            </w:r>
          </w:p>
        </w:tc>
        <w:tc>
          <w:tcPr>
            <w:tcW w:w="320" w:type="dxa"/>
            <w:vAlign w:val="bottom"/>
            <w:tcBorders>
              <w:bottom w:val="single" w:sz="8" w:color="EEEEEE"/>
            </w:tcBorders>
          </w:tcPr>
          <w:p>
            <w:pPr>
              <w:spacing w:after="0"/>
              <w:rPr>
                <w:sz w:val="22"/>
                <w:szCs w:val="22"/>
                <w:color w:val="auto"/>
              </w:rPr>
            </w:pPr>
          </w:p>
        </w:tc>
        <w:tc>
          <w:tcPr>
            <w:tcW w:w="180" w:type="dxa"/>
            <w:vAlign w:val="bottom"/>
            <w:tcBorders>
              <w:top w:val="single" w:sz="8" w:color="auto"/>
              <w:bottom w:val="single" w:sz="8" w:color="auto"/>
            </w:tcBorders>
          </w:tcPr>
          <w:p>
            <w:pPr>
              <w:spacing w:after="0"/>
              <w:rPr>
                <w:sz w:val="22"/>
                <w:szCs w:val="22"/>
                <w:color w:val="auto"/>
              </w:rPr>
            </w:pP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3,543,557</w:t>
            </w:r>
          </w:p>
        </w:tc>
        <w:tc>
          <w:tcPr>
            <w:tcW w:w="100" w:type="dxa"/>
            <w:vAlign w:val="bottom"/>
            <w:tcBorders>
              <w:bottom w:val="single" w:sz="8" w:color="EEEEEE"/>
            </w:tcBorders>
          </w:tcPr>
          <w:p>
            <w:pPr>
              <w:spacing w:after="0"/>
              <w:rPr>
                <w:sz w:val="22"/>
                <w:szCs w:val="22"/>
                <w:color w:val="auto"/>
              </w:rPr>
            </w:pPr>
          </w:p>
        </w:tc>
      </w:tr>
      <w:tr>
        <w:trPr>
          <w:trHeight w:val="197"/>
        </w:trPr>
        <w:tc>
          <w:tcPr>
            <w:tcW w:w="7660" w:type="dxa"/>
            <w:vAlign w:val="bottom"/>
            <w:shd w:val="clear" w:color="auto" w:fill="EEEEEE"/>
          </w:tcPr>
          <w:p>
            <w:pPr>
              <w:spacing w:after="0"/>
              <w:rPr>
                <w:sz w:val="17"/>
                <w:szCs w:val="17"/>
                <w:color w:val="auto"/>
              </w:rPr>
            </w:pPr>
          </w:p>
        </w:tc>
        <w:tc>
          <w:tcPr>
            <w:tcW w:w="180" w:type="dxa"/>
            <w:vAlign w:val="bottom"/>
            <w:shd w:val="clear" w:color="auto" w:fill="EEEEEE"/>
          </w:tcPr>
          <w:p>
            <w:pPr>
              <w:spacing w:after="0"/>
              <w:rPr>
                <w:sz w:val="17"/>
                <w:szCs w:val="17"/>
                <w:color w:val="auto"/>
              </w:rPr>
            </w:pPr>
          </w:p>
        </w:tc>
        <w:tc>
          <w:tcPr>
            <w:tcW w:w="140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80" w:type="dxa"/>
            <w:vAlign w:val="bottom"/>
            <w:shd w:val="clear" w:color="auto" w:fill="EEEEEE"/>
          </w:tcPr>
          <w:p>
            <w:pPr>
              <w:spacing w:after="0"/>
              <w:rPr>
                <w:sz w:val="17"/>
                <w:szCs w:val="17"/>
                <w:color w:val="auto"/>
              </w:rPr>
            </w:pPr>
          </w:p>
        </w:tc>
        <w:tc>
          <w:tcPr>
            <w:tcW w:w="140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30"/>
        </w:trPr>
        <w:tc>
          <w:tcPr>
            <w:tcW w:w="7660" w:type="dxa"/>
            <w:vAlign w:val="bottom"/>
          </w:tcPr>
          <w:p>
            <w:pPr>
              <w:spacing w:after="0"/>
              <w:rPr>
                <w:sz w:val="20"/>
                <w:szCs w:val="20"/>
                <w:color w:val="auto"/>
              </w:rPr>
            </w:pPr>
            <w:r>
              <w:rPr>
                <w:rFonts w:ascii="Arial" w:cs="Arial" w:eastAsia="Arial" w:hAnsi="Arial"/>
                <w:sz w:val="18"/>
                <w:szCs w:val="18"/>
                <w:color w:val="auto"/>
              </w:rPr>
              <w:t>Other liabilities</w:t>
            </w:r>
          </w:p>
        </w:tc>
        <w:tc>
          <w:tcPr>
            <w:tcW w:w="180" w:type="dxa"/>
            <w:vAlign w:val="bottom"/>
          </w:tcPr>
          <w:p>
            <w:pPr>
              <w:spacing w:after="0"/>
              <w:rPr>
                <w:sz w:val="19"/>
                <w:szCs w:val="19"/>
                <w:color w:val="auto"/>
              </w:rPr>
            </w:pPr>
          </w:p>
        </w:tc>
        <w:tc>
          <w:tcPr>
            <w:tcW w:w="172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9"/>
                <w:szCs w:val="19"/>
                <w:color w:val="auto"/>
              </w:rPr>
            </w:pPr>
          </w:p>
        </w:tc>
        <w:tc>
          <w:tcPr>
            <w:tcW w:w="1500" w:type="dxa"/>
            <w:vAlign w:val="bottom"/>
            <w:gridSpan w:val="2"/>
          </w:tcPr>
          <w:p>
            <w:pPr>
              <w:jc w:val="right"/>
              <w:ind w:right="100"/>
              <w:spacing w:after="0"/>
              <w:rPr>
                <w:sz w:val="20"/>
                <w:szCs w:val="20"/>
                <w:color w:val="auto"/>
              </w:rPr>
            </w:pPr>
            <w:r>
              <w:rPr>
                <w:rFonts w:ascii="Arial" w:cs="Arial" w:eastAsia="Arial" w:hAnsi="Arial"/>
                <w:sz w:val="18"/>
                <w:szCs w:val="18"/>
                <w:color w:val="auto"/>
              </w:rPr>
              <w:t>1,723,672</w:t>
            </w:r>
          </w:p>
        </w:tc>
      </w:tr>
      <w:tr>
        <w:trPr>
          <w:trHeight w:val="223"/>
        </w:trPr>
        <w:tc>
          <w:tcPr>
            <w:tcW w:w="766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Liabilities</w:t>
            </w:r>
          </w:p>
        </w:tc>
        <w:tc>
          <w:tcPr>
            <w:tcW w:w="1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w w:val="79"/>
              </w:rPr>
              <w:t>$</w:t>
            </w:r>
          </w:p>
        </w:tc>
        <w:tc>
          <w:tcPr>
            <w:tcW w:w="14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w:t>
            </w:r>
          </w:p>
        </w:tc>
        <w:tc>
          <w:tcPr>
            <w:tcW w:w="320" w:type="dxa"/>
            <w:vAlign w:val="bottom"/>
            <w:tcBorders>
              <w:top w:val="single" w:sz="8" w:color="EEEEEE"/>
              <w:bottom w:val="single" w:sz="8" w:color="EEEEEE"/>
            </w:tcBorders>
            <w:shd w:val="clear" w:color="auto" w:fill="EEEEEE"/>
          </w:tcPr>
          <w:p>
            <w:pPr>
              <w:spacing w:after="0"/>
              <w:rPr>
                <w:sz w:val="19"/>
                <w:szCs w:val="19"/>
                <w:color w:val="auto"/>
              </w:rPr>
            </w:pPr>
          </w:p>
        </w:tc>
        <w:tc>
          <w:tcPr>
            <w:tcW w:w="180" w:type="dxa"/>
            <w:vAlign w:val="bottom"/>
            <w:tcBorders>
              <w:top w:val="single" w:sz="8" w:color="auto"/>
              <w:bottom w:val="single" w:sz="8" w:color="auto"/>
            </w:tcBorders>
            <w:shd w:val="clear" w:color="auto" w:fill="EEEEEE"/>
          </w:tcPr>
          <w:p>
            <w:pPr>
              <w:spacing w:after="0"/>
              <w:rPr>
                <w:sz w:val="19"/>
                <w:szCs w:val="19"/>
                <w:color w:val="auto"/>
              </w:rPr>
            </w:pPr>
          </w:p>
        </w:tc>
        <w:tc>
          <w:tcPr>
            <w:tcW w:w="14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1,723,672</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66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94"/>
        </w:trPr>
        <w:tc>
          <w:tcPr>
            <w:tcW w:w="766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72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December 31,</w:t>
            </w:r>
          </w:p>
        </w:tc>
        <w:tc>
          <w:tcPr>
            <w:tcW w:w="180" w:type="dxa"/>
            <w:vAlign w:val="bottom"/>
          </w:tcPr>
          <w:p>
            <w:pPr>
              <w:spacing w:after="0"/>
              <w:rPr>
                <w:sz w:val="24"/>
                <w:szCs w:val="24"/>
                <w:color w:val="auto"/>
              </w:rPr>
            </w:pPr>
          </w:p>
        </w:tc>
        <w:tc>
          <w:tcPr>
            <w:tcW w:w="1500" w:type="dxa"/>
            <w:vAlign w:val="bottom"/>
            <w:gridSpan w:val="2"/>
          </w:tcPr>
          <w:p>
            <w:pPr>
              <w:ind w:left="1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7660" w:type="dxa"/>
            <w:vAlign w:val="bottom"/>
            <w:tcBorders>
              <w:bottom w:val="single" w:sz="8" w:color="EEEEEE"/>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2022</w:t>
            </w:r>
          </w:p>
        </w:tc>
        <w:tc>
          <w:tcPr>
            <w:tcW w:w="320" w:type="dxa"/>
            <w:vAlign w:val="bottom"/>
            <w:tcBorders>
              <w:bottom w:val="single" w:sz="8" w:color="EEEEEE"/>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EEEEEE"/>
            </w:tcBorders>
          </w:tcPr>
          <w:p>
            <w:pPr>
              <w:spacing w:after="0"/>
              <w:rPr>
                <w:sz w:val="20"/>
                <w:szCs w:val="20"/>
                <w:color w:val="auto"/>
              </w:rPr>
            </w:pPr>
          </w:p>
        </w:tc>
      </w:tr>
      <w:tr>
        <w:trPr>
          <w:trHeight w:val="210"/>
        </w:trPr>
        <w:tc>
          <w:tcPr>
            <w:tcW w:w="7660" w:type="dxa"/>
            <w:vAlign w:val="bottom"/>
            <w:shd w:val="clear" w:color="auto" w:fill="EEEEEE"/>
          </w:tcPr>
          <w:p>
            <w:pPr>
              <w:spacing w:after="0"/>
              <w:rPr>
                <w:sz w:val="20"/>
                <w:szCs w:val="20"/>
                <w:color w:val="auto"/>
              </w:rPr>
            </w:pPr>
            <w:r>
              <w:rPr>
                <w:rFonts w:ascii="Arial" w:cs="Arial" w:eastAsia="Arial" w:hAnsi="Arial"/>
                <w:sz w:val="18"/>
                <w:szCs w:val="18"/>
                <w:color w:val="auto"/>
              </w:rPr>
              <w:t>Revenue</w:t>
            </w:r>
          </w:p>
        </w:tc>
        <w:tc>
          <w:tcPr>
            <w:tcW w:w="1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1,688,453</w:t>
            </w:r>
          </w:p>
        </w:tc>
        <w:tc>
          <w:tcPr>
            <w:tcW w:w="320" w:type="dxa"/>
            <w:vAlign w:val="bottom"/>
            <w:shd w:val="clear" w:color="auto" w:fill="EEEEEE"/>
          </w:tcPr>
          <w:p>
            <w:pPr>
              <w:spacing w:after="0"/>
              <w:rPr>
                <w:sz w:val="18"/>
                <w:szCs w:val="18"/>
                <w:color w:val="auto"/>
              </w:rPr>
            </w:pPr>
          </w:p>
        </w:tc>
        <w:tc>
          <w:tcPr>
            <w:tcW w:w="18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4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6,101,103</w:t>
            </w:r>
          </w:p>
        </w:tc>
        <w:tc>
          <w:tcPr>
            <w:tcW w:w="100" w:type="dxa"/>
            <w:vAlign w:val="bottom"/>
            <w:shd w:val="clear" w:color="auto" w:fill="EEEEEE"/>
          </w:tcPr>
          <w:p>
            <w:pPr>
              <w:spacing w:after="0"/>
              <w:rPr>
                <w:sz w:val="18"/>
                <w:szCs w:val="18"/>
                <w:color w:val="auto"/>
              </w:rPr>
            </w:pPr>
          </w:p>
        </w:tc>
      </w:tr>
      <w:tr>
        <w:trPr>
          <w:trHeight w:val="230"/>
        </w:trPr>
        <w:tc>
          <w:tcPr>
            <w:tcW w:w="7660" w:type="dxa"/>
            <w:vAlign w:val="bottom"/>
          </w:tcPr>
          <w:p>
            <w:pPr>
              <w:spacing w:after="0"/>
              <w:rPr>
                <w:sz w:val="20"/>
                <w:szCs w:val="20"/>
                <w:color w:val="auto"/>
              </w:rPr>
            </w:pPr>
            <w:r>
              <w:rPr>
                <w:rFonts w:ascii="Arial" w:cs="Arial" w:eastAsia="Arial" w:hAnsi="Arial"/>
                <w:sz w:val="18"/>
                <w:szCs w:val="18"/>
                <w:color w:val="auto"/>
              </w:rPr>
              <w:t>Net (loss) / profit</w:t>
            </w:r>
          </w:p>
        </w:tc>
        <w:tc>
          <w:tcPr>
            <w:tcW w:w="180" w:type="dxa"/>
            <w:vAlign w:val="bottom"/>
          </w:tcPr>
          <w:p>
            <w:pPr>
              <w:spacing w:after="0"/>
              <w:rPr>
                <w:sz w:val="20"/>
                <w:szCs w:val="20"/>
                <w:color w:val="auto"/>
              </w:rPr>
            </w:pPr>
          </w:p>
        </w:tc>
        <w:tc>
          <w:tcPr>
            <w:tcW w:w="1720" w:type="dxa"/>
            <w:vAlign w:val="bottom"/>
            <w:gridSpan w:val="2"/>
          </w:tcPr>
          <w:p>
            <w:pPr>
              <w:jc w:val="right"/>
              <w:ind w:right="260"/>
              <w:spacing w:after="0"/>
              <w:rPr>
                <w:sz w:val="20"/>
                <w:szCs w:val="20"/>
                <w:color w:val="auto"/>
              </w:rPr>
            </w:pPr>
            <w:r>
              <w:rPr>
                <w:rFonts w:ascii="Arial" w:cs="Arial" w:eastAsia="Arial" w:hAnsi="Arial"/>
                <w:sz w:val="18"/>
                <w:szCs w:val="18"/>
                <w:color w:val="auto"/>
              </w:rPr>
              <w:t>(381,593)</w:t>
            </w:r>
          </w:p>
        </w:tc>
        <w:tc>
          <w:tcPr>
            <w:tcW w:w="180" w:type="dxa"/>
            <w:vAlign w:val="bottom"/>
          </w:tcPr>
          <w:p>
            <w:pPr>
              <w:spacing w:after="0"/>
              <w:rPr>
                <w:sz w:val="20"/>
                <w:szCs w:val="20"/>
                <w:color w:val="auto"/>
              </w:rPr>
            </w:pPr>
          </w:p>
        </w:tc>
        <w:tc>
          <w:tcPr>
            <w:tcW w:w="1500" w:type="dxa"/>
            <w:vAlign w:val="bottom"/>
            <w:gridSpan w:val="2"/>
          </w:tcPr>
          <w:p>
            <w:pPr>
              <w:jc w:val="right"/>
              <w:ind w:right="100"/>
              <w:spacing w:after="0"/>
              <w:rPr>
                <w:sz w:val="20"/>
                <w:szCs w:val="20"/>
                <w:color w:val="auto"/>
              </w:rPr>
            </w:pPr>
            <w:r>
              <w:rPr>
                <w:rFonts w:ascii="Arial" w:cs="Arial" w:eastAsia="Arial" w:hAnsi="Arial"/>
                <w:sz w:val="18"/>
                <w:szCs w:val="18"/>
                <w:color w:val="auto"/>
              </w:rPr>
              <w:t>522,044</w:t>
            </w:r>
          </w:p>
        </w:tc>
      </w:tr>
    </w:tbl>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Discontinued operation</w:t>
      </w:r>
    </w:p>
    <w:p>
      <w:pPr>
        <w:spacing w:after="0" w:line="225"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In accordance with ASU No. 2014-08, Reporting Discontinued Operations and Disclosures of Disposals of Components of an Entity, a disposal of a component of an entity or a group of components of an entity is required to be reported as discontinued operations if the disposal represents a strategic shift that has (or will have) a major effect on an entity’s operations and financial results when the components of an entity meets the criteria in paragraph 205-20-45-1E to be classified as held for sale. When all of the criteria to be classified as held for sale are met, including management, having the authority to approve the action, commits to a plan to sell the entity, the major current assets, other assets, current liabilities and noncurrent liabilities shall be reported as components of total assets and liabilities separate from those balances of the continuing operations. At the same time, the results of all discontinued operations, less applicable income taxes (benefit), shall be reported as components of net income (loss) separate from the net income (loss) of continuing operations in accordance with ASC 205-20-45.</w:t>
      </w:r>
    </w:p>
    <w:p>
      <w:pPr>
        <w:spacing w:after="0" w:line="17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November 30, 2022, the Company, XFC and Han-Chieh Shih (the “Purchaser”) entered into that certain share purchase agreement (the “Disposition SPA”). Pursuant to the Disposition SPA, the Purchaser agreed to purchase a 100% controlling interest in XFC in exchange for a cash purchase price of $300,000. The transaction contemplated by the Purchase Agreement is hereby referred as the “Disposal.” On March 29, 2022, management was authorized to approve and commit to a plan to sell XFC. On November 30, 2022, the parties completed all of the share transfer registration procedures as required by the laws of Taiwan and all the other closing conditions have been satisfied, as a result, the Disposal contemplated by the Purchase Agreement is completed and the VIE agreements were terminated.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7" w:name="page38"/>
    <w:bookmarkEnd w:id="37"/>
    <w:p>
      <w:pPr>
        <w:spacing w:after="0"/>
        <w:rPr>
          <w:sz w:val="20"/>
          <w:szCs w:val="20"/>
          <w:color w:val="auto"/>
        </w:rPr>
      </w:pPr>
      <w:r>
        <w:rPr>
          <w:rFonts w:ascii="Arial" w:cs="Arial" w:eastAsia="Arial" w:hAnsi="Arial"/>
          <w:sz w:val="18"/>
          <w:szCs w:val="18"/>
          <w:b w:val="1"/>
          <w:bCs w:val="1"/>
          <w:i w:val="1"/>
          <w:iCs w:val="1"/>
          <w:color w:val="auto"/>
        </w:rPr>
        <w:t>Goodwill and Intangible Assets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recognize goodwill 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Goodwill is the excess of cost of an acquired entity over the amounts assigned to assets acquired and liabilities assumed in a business combination. Goodwill is not amortized. Goodwill is tested for impairment annually as of October 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recognize intangible assets 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We determine our share-based compensation in accordance with ASC 718,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xml:space="preserve"> (ASC 718), which requires the measurement and recognition of compensation expense for all share-based payment awards made to employees based on the grant date fair value of the award.</w:t>
      </w:r>
    </w:p>
    <w:p>
      <w:pPr>
        <w:spacing w:after="0" w:line="1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Determining the appropriate fair value model and calculating the fair value of phantom award grants requires the input of subjective assumptions. We use the Black-Scholes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8"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Black-Scholes pricing model requires inputs such as the risk-free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64"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 the opinion of management, all adjustments (which include normal recurring adjustments) necessary to present a fair presentation of our unaudited condensed consolidated financial position as of September 30, 2023, its consolidated results of operations for the period ended September 30, 2023, cash flows for the year period ended September 30, 2023 and change in equity for the period ended September 30, 2023, as applicable, have been made.</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color w:val="auto"/>
        </w:rPr>
        <w:t>Critical accounting policies are those that we consider the most critical to understanding our financial condition and results of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of Long-lived Assets</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We review our long-lived assets for impairment whenever events or changes in circumstances indicate that the carrying amount of an asset may no longer be recoverable. When these events occur, we measure impairment by comparing the carrying value of the long-lived assets to the estimated undiscounted future cash flows expected to result from the use of the assets and their eventual disposition. If the sum of the expected undiscounted cash flow is less than the carrying amount of the assets, we would recognize an impairment loss, which is the excess of carrying amount over the fair value of the assets.</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8" w:name="page39"/>
    <w:bookmarkEnd w:id="38"/>
    <w:p>
      <w:pPr>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the normal course of business, we are subject to contingencies, including legal proceedings and claims arising out of our business that relate to a wide range of matters, such as government investigations and tax matters. We recognize a liability for such contingency if it determines it is probable that a loss has occurred and a reasonable estimate of the loss can be made. We may consider many factors in making these assessments including historical and the specific facts and circumstances of each matter.</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have early adopted ASU 2014-09, Revenue from Contracts with Customers (Topic 606) and all subsequent ASUs that modified ASC 606 on January 1, 2017.</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4" w:lineRule="exact"/>
        <w:rPr>
          <w:sz w:val="20"/>
          <w:szCs w:val="20"/>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Step 1: Identify the contract(s) with a customer</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Step 2: Identify the performance obligations in the contract</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Step 3: Determine the transaction price</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Step 4: Allocate the transaction price to the performance obligation in the contract</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0"/>
        </w:numPr>
        <w:rPr>
          <w:rFonts w:ascii="Arial" w:cs="Arial" w:eastAsia="Arial" w:hAnsi="Arial"/>
          <w:sz w:val="18"/>
          <w:szCs w:val="18"/>
          <w:color w:val="auto"/>
        </w:rPr>
      </w:pPr>
      <w:r>
        <w:rPr>
          <w:rFonts w:ascii="Arial" w:cs="Arial" w:eastAsia="Arial" w:hAnsi="Arial"/>
          <w:sz w:val="18"/>
          <w:szCs w:val="18"/>
          <w:color w:val="auto"/>
        </w:rPr>
        <w:t>Step 5: Recognize revenue when (or as) the entity satisfies a performance obligation</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considered revenue is recognized when (or as) we satisfy performance obligations by transferring a promised goods and provide maintenance service to a customer. Revenue is measured at the transaction price which is based on the amount of consideration that we expect to receive in exchange for transferring the promised goods and providing maintenance service to the customer. Contracts with customers are comprised of invoices, and written contracts.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We do not have arrangements for returns from customers. We have no sales incentive programs.</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provide goods, maintenance service warranties for the goods sold with a period varying from 18 months to 72 months, with the majority of the periods being 18 months, and exclusive sales agency license to its customers. For performance obligation related to providing products, we expect to recognize the revenue according to the delivery of products. For performance obligation related to maintenance service warranties, we expect to recognize the revenue on a ratable basis using a time-based output method. The performance obligations are typically satisfied as services are rendered on a straight-line basis over the contract term, which is generally for 18 months as a majority of the maintenance service warranties periods provided are 18 months. For performance obligation related to exclusive agency license, we recognize the revenue ratably upon the satisfaction over the estimated economic life of the license.</w:t>
      </w:r>
    </w:p>
    <w:p>
      <w:pPr>
        <w:spacing w:after="0" w:line="16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do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Sales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Cost of sales consists primarily of material costs, labor costs, depreciation, and related expenses, which are directly attributable to the production of the product. Write-down of inventories to lower of cost or net realizable value is also recorded in cost of sales.</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9" w:name="page40"/>
    <w:bookmarkEnd w:id="39"/>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recognize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February 2016, the FASB issued ASU 2016-12, Leases (ASC Topic 842), which amends the lease requirements in ASC Topic 840, Leases. Under the new lease accounting standard, a lessee will be required to recognize a right-of-use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187"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We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we recognized a lease liability and right-of-use asset for each of our existing lease arrangement. The adoption of the new lease standard does not have a material impact on our consolidated income statement or our consolidated statement of cash flow.</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Uncertain Tax Positions</w:t>
      </w:r>
    </w:p>
    <w:p>
      <w:pPr>
        <w:spacing w:after="0" w:line="225"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account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We record interest and penalties on uncertain tax provisions as income tax expense. There were no uncertain tax positions as of March 31, 2023 and 2022, and we have no accrued interest or penalties related to uncertain tax positions. We do not believe that the unrecognized tax benefits will change over the next twelve months.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(Loss) Income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Comprehensive income or loss is comprised of our net (loss) income and other comprehensive income or loss. The component of other comprehensive income or loss consists solely of foreign currency translation adjustments, net of the income tax effect.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Translation and Transactions</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Our reporting currency is the United States dollar (“US$”). The functional currency of our VIE in Taiwan is the New Taiwan dollar (“NT”), and the functional currency of our Hong Kong subsidiary is Hong Kong dollars (“HK$”). The functional currency of PRC companies is the Renminbi (“RMB”). In the consolidated financial statements, the financial information of our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for US$ to RMB as of March 31, 2023 and 2022 are 6.89259 and 6.345548, respectively. The annual average exchange rates for the year ended December 31, 2022 and 2021 are 6.974587 and 6.370129,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Earnings per Share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Basic (loss) earnings per share is computed by dividing net (loss) income attributable to holders of common stock by the weighted average number of shares of common stock outstanding during the year. Diluted earnings per share reflect the potential dilution that could occur if securities or other contracts to issue shares of common stock were exercised or converted into shares of common stock.</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0" w:name="page41"/>
    <w:bookmarkEnd w:id="40"/>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sets forth the consolidated statements of operations of the Company for the three and nine months ended September 30, 2023 and 2022.</w:t>
      </w: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4740" w:type="dxa"/>
            <w:vAlign w:val="bottom"/>
            <w:gridSpan w:val="2"/>
          </w:tcPr>
          <w:p>
            <w:pPr>
              <w:spacing w:after="0"/>
              <w:rPr>
                <w:sz w:val="20"/>
                <w:szCs w:val="20"/>
                <w:color w:val="auto"/>
              </w:rPr>
            </w:pPr>
            <w:r>
              <w:rPr>
                <w:rFonts w:ascii="Arial" w:cs="Arial" w:eastAsia="Arial" w:hAnsi="Arial"/>
                <w:sz w:val="18"/>
                <w:szCs w:val="18"/>
                <w:b w:val="1"/>
                <w:bCs w:val="1"/>
                <w:color w:val="auto"/>
              </w:rPr>
              <w:t>Consolidated Statements of Operations</w:t>
            </w:r>
          </w:p>
        </w:tc>
        <w:tc>
          <w:tcPr>
            <w:tcW w:w="13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434"/>
        </w:trPr>
        <w:tc>
          <w:tcPr>
            <w:tcW w:w="3020" w:type="dxa"/>
            <w:vAlign w:val="bottom"/>
            <w:tcBorders>
              <w:top w:val="single" w:sz="8" w:color="auto"/>
            </w:tcBorders>
          </w:tcPr>
          <w:p>
            <w:pPr>
              <w:spacing w:after="0"/>
              <w:rPr>
                <w:sz w:val="24"/>
                <w:szCs w:val="24"/>
                <w:color w:val="auto"/>
              </w:rPr>
            </w:pPr>
          </w:p>
        </w:tc>
        <w:tc>
          <w:tcPr>
            <w:tcW w:w="1720" w:type="dxa"/>
            <w:vAlign w:val="bottom"/>
          </w:tcPr>
          <w:p>
            <w:pPr>
              <w:spacing w:after="0"/>
              <w:rPr>
                <w:sz w:val="24"/>
                <w:szCs w:val="24"/>
                <w:color w:val="auto"/>
              </w:rPr>
            </w:pPr>
          </w:p>
        </w:tc>
        <w:tc>
          <w:tcPr>
            <w:tcW w:w="3400" w:type="dxa"/>
            <w:vAlign w:val="bottom"/>
            <w:gridSpan w:val="5"/>
          </w:tcPr>
          <w:p>
            <w:pPr>
              <w:jc w:val="center"/>
              <w:ind w:right="380"/>
              <w:spacing w:after="0"/>
              <w:rPr>
                <w:sz w:val="20"/>
                <w:szCs w:val="20"/>
                <w:color w:val="auto"/>
              </w:rPr>
            </w:pPr>
            <w:r>
              <w:rPr>
                <w:rFonts w:ascii="Arial" w:cs="Arial" w:eastAsia="Arial" w:hAnsi="Arial"/>
                <w:sz w:val="18"/>
                <w:szCs w:val="18"/>
                <w:b w:val="1"/>
                <w:bCs w:val="1"/>
                <w:color w:val="auto"/>
                <w:w w:val="89"/>
              </w:rPr>
              <w:t>Three months ended</w:t>
            </w:r>
          </w:p>
        </w:tc>
        <w:tc>
          <w:tcPr>
            <w:tcW w:w="3100" w:type="dxa"/>
            <w:vAlign w:val="bottom"/>
            <w:gridSpan w:val="6"/>
          </w:tcPr>
          <w:p>
            <w:pPr>
              <w:jc w:val="right"/>
              <w:ind w:right="880"/>
              <w:spacing w:after="0"/>
              <w:rPr>
                <w:sz w:val="20"/>
                <w:szCs w:val="20"/>
                <w:color w:val="auto"/>
              </w:rPr>
            </w:pPr>
            <w:r>
              <w:rPr>
                <w:rFonts w:ascii="Arial" w:cs="Arial" w:eastAsia="Arial" w:hAnsi="Arial"/>
                <w:sz w:val="18"/>
                <w:szCs w:val="18"/>
                <w:b w:val="1"/>
                <w:bCs w:val="1"/>
                <w:color w:val="auto"/>
              </w:rPr>
              <w:t>Nine months ended</w:t>
            </w:r>
          </w:p>
        </w:tc>
        <w:tc>
          <w:tcPr>
            <w:tcW w:w="0" w:type="dxa"/>
            <w:vAlign w:val="bottom"/>
          </w:tcPr>
          <w:p>
            <w:pPr>
              <w:spacing w:after="0"/>
              <w:rPr>
                <w:sz w:val="1"/>
                <w:szCs w:val="1"/>
                <w:color w:val="auto"/>
              </w:rPr>
            </w:pPr>
          </w:p>
        </w:tc>
      </w:tr>
      <w:tr>
        <w:trPr>
          <w:trHeight w:val="234"/>
        </w:trPr>
        <w:tc>
          <w:tcPr>
            <w:tcW w:w="302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2140" w:type="dxa"/>
            <w:vAlign w:val="bottom"/>
            <w:tcBorders>
              <w:bottom w:val="single" w:sz="8" w:color="auto"/>
            </w:tcBorders>
            <w:gridSpan w:val="3"/>
          </w:tcPr>
          <w:p>
            <w:pPr>
              <w:jc w:val="center"/>
              <w:ind w:left="830"/>
              <w:spacing w:after="0"/>
              <w:rPr>
                <w:sz w:val="20"/>
                <w:szCs w:val="20"/>
                <w:color w:val="auto"/>
              </w:rPr>
            </w:pPr>
            <w:r>
              <w:rPr>
                <w:rFonts w:ascii="Arial" w:cs="Arial" w:eastAsia="Arial" w:hAnsi="Arial"/>
                <w:sz w:val="18"/>
                <w:szCs w:val="18"/>
                <w:b w:val="1"/>
                <w:bCs w:val="1"/>
                <w:color w:val="auto"/>
                <w:w w:val="89"/>
              </w:rPr>
              <w:t>September 30,</w:t>
            </w:r>
          </w:p>
        </w:tc>
        <w:tc>
          <w:tcPr>
            <w:tcW w:w="940" w:type="dxa"/>
            <w:vAlign w:val="bottom"/>
            <w:tcBorders>
              <w:bottom w:val="single" w:sz="8" w:color="auto"/>
            </w:tcBorders>
          </w:tcPr>
          <w:p>
            <w:pPr>
              <w:spacing w:after="0"/>
              <w:rPr>
                <w:sz w:val="20"/>
                <w:szCs w:val="20"/>
                <w:color w:val="auto"/>
              </w:rPr>
            </w:pPr>
          </w:p>
        </w:tc>
        <w:tc>
          <w:tcPr>
            <w:tcW w:w="320" w:type="dxa"/>
            <w:vAlign w:val="bottom"/>
          </w:tcPr>
          <w:p>
            <w:pPr>
              <w:spacing w:after="0"/>
              <w:rPr>
                <w:sz w:val="20"/>
                <w:szCs w:val="20"/>
                <w:color w:val="auto"/>
              </w:rPr>
            </w:pPr>
          </w:p>
        </w:tc>
        <w:tc>
          <w:tcPr>
            <w:tcW w:w="2100" w:type="dxa"/>
            <w:vAlign w:val="bottom"/>
            <w:tcBorders>
              <w:bottom w:val="single" w:sz="8" w:color="auto"/>
            </w:tcBorders>
            <w:gridSpan w:val="3"/>
          </w:tcPr>
          <w:p>
            <w:pPr>
              <w:ind w:left="940"/>
              <w:spacing w:after="0"/>
              <w:rPr>
                <w:sz w:val="20"/>
                <w:szCs w:val="20"/>
                <w:color w:val="auto"/>
              </w:rPr>
            </w:pPr>
            <w:r>
              <w:rPr>
                <w:rFonts w:ascii="Arial" w:cs="Arial" w:eastAsia="Arial" w:hAnsi="Arial"/>
                <w:sz w:val="18"/>
                <w:szCs w:val="18"/>
                <w:b w:val="1"/>
                <w:bCs w:val="1"/>
                <w:color w:val="auto"/>
                <w:w w:val="92"/>
              </w:rPr>
              <w:t>September 30,</w:t>
            </w:r>
          </w:p>
        </w:tc>
        <w:tc>
          <w:tcPr>
            <w:tcW w:w="90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95"/>
        </w:trPr>
        <w:tc>
          <w:tcPr>
            <w:tcW w:w="3020" w:type="dxa"/>
            <w:vAlign w:val="bottom"/>
          </w:tcPr>
          <w:p>
            <w:pPr>
              <w:spacing w:after="0"/>
              <w:rPr>
                <w:sz w:val="16"/>
                <w:szCs w:val="16"/>
                <w:color w:val="auto"/>
              </w:rPr>
            </w:pPr>
          </w:p>
        </w:tc>
        <w:tc>
          <w:tcPr>
            <w:tcW w:w="1720" w:type="dxa"/>
            <w:vAlign w:val="bottom"/>
          </w:tcPr>
          <w:p>
            <w:pPr>
              <w:spacing w:after="0"/>
              <w:rPr>
                <w:sz w:val="16"/>
                <w:szCs w:val="16"/>
                <w:color w:val="auto"/>
              </w:rPr>
            </w:pPr>
          </w:p>
        </w:tc>
        <w:tc>
          <w:tcPr>
            <w:tcW w:w="1360" w:type="dxa"/>
            <w:vAlign w:val="bottom"/>
          </w:tcPr>
          <w:p>
            <w:pPr>
              <w:jc w:val="right"/>
              <w:ind w:right="410"/>
              <w:spacing w:after="0" w:line="195" w:lineRule="exact"/>
              <w:rPr>
                <w:sz w:val="20"/>
                <w:szCs w:val="20"/>
                <w:color w:val="auto"/>
              </w:rPr>
            </w:pPr>
            <w:r>
              <w:rPr>
                <w:rFonts w:ascii="Arial" w:cs="Arial" w:eastAsia="Arial" w:hAnsi="Arial"/>
                <w:sz w:val="18"/>
                <w:szCs w:val="18"/>
                <w:b w:val="1"/>
                <w:bCs w:val="1"/>
                <w:color w:val="auto"/>
              </w:rPr>
              <w:t>2023</w:t>
            </w:r>
          </w:p>
        </w:tc>
        <w:tc>
          <w:tcPr>
            <w:tcW w:w="34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40" w:type="dxa"/>
            <w:vAlign w:val="bottom"/>
          </w:tcPr>
          <w:p>
            <w:pPr>
              <w:jc w:val="right"/>
              <w:ind w:right="430"/>
              <w:spacing w:after="0" w:line="195" w:lineRule="exact"/>
              <w:rPr>
                <w:sz w:val="20"/>
                <w:szCs w:val="20"/>
                <w:color w:val="auto"/>
              </w:rPr>
            </w:pPr>
            <w:r>
              <w:rPr>
                <w:rFonts w:ascii="Arial" w:cs="Arial" w:eastAsia="Arial" w:hAnsi="Arial"/>
                <w:sz w:val="18"/>
                <w:szCs w:val="18"/>
                <w:b w:val="1"/>
                <w:bCs w:val="1"/>
                <w:color w:val="auto"/>
                <w:w w:val="99"/>
              </w:rPr>
              <w:t>2022</w:t>
            </w:r>
          </w:p>
        </w:tc>
        <w:tc>
          <w:tcPr>
            <w:tcW w:w="320" w:type="dxa"/>
            <w:vAlign w:val="bottom"/>
          </w:tcPr>
          <w:p>
            <w:pPr>
              <w:spacing w:after="0"/>
              <w:rPr>
                <w:sz w:val="16"/>
                <w:szCs w:val="16"/>
                <w:color w:val="auto"/>
              </w:rPr>
            </w:pPr>
          </w:p>
        </w:tc>
        <w:tc>
          <w:tcPr>
            <w:tcW w:w="1340" w:type="dxa"/>
            <w:vAlign w:val="bottom"/>
          </w:tcPr>
          <w:p>
            <w:pPr>
              <w:jc w:val="right"/>
              <w:ind w:right="410"/>
              <w:spacing w:after="0" w:line="195" w:lineRule="exact"/>
              <w:rPr>
                <w:sz w:val="20"/>
                <w:szCs w:val="20"/>
                <w:color w:val="auto"/>
              </w:rPr>
            </w:pPr>
            <w:r>
              <w:rPr>
                <w:rFonts w:ascii="Arial" w:cs="Arial" w:eastAsia="Arial" w:hAnsi="Arial"/>
                <w:sz w:val="18"/>
                <w:szCs w:val="18"/>
                <w:b w:val="1"/>
                <w:bCs w:val="1"/>
                <w:color w:val="auto"/>
              </w:rPr>
              <w:t>2023</w:t>
            </w:r>
          </w:p>
        </w:tc>
        <w:tc>
          <w:tcPr>
            <w:tcW w:w="320" w:type="dxa"/>
            <w:vAlign w:val="bottom"/>
          </w:tcPr>
          <w:p>
            <w:pPr>
              <w:spacing w:after="0"/>
              <w:rPr>
                <w:sz w:val="16"/>
                <w:szCs w:val="16"/>
                <w:color w:val="auto"/>
              </w:rPr>
            </w:pPr>
          </w:p>
        </w:tc>
        <w:tc>
          <w:tcPr>
            <w:tcW w:w="440" w:type="dxa"/>
            <w:vAlign w:val="bottom"/>
          </w:tcPr>
          <w:p>
            <w:pPr>
              <w:spacing w:after="0"/>
              <w:rPr>
                <w:sz w:val="16"/>
                <w:szCs w:val="16"/>
                <w:color w:val="auto"/>
              </w:rPr>
            </w:pPr>
          </w:p>
        </w:tc>
        <w:tc>
          <w:tcPr>
            <w:tcW w:w="900" w:type="dxa"/>
            <w:vAlign w:val="bottom"/>
          </w:tcPr>
          <w:p>
            <w:pPr>
              <w:jc w:val="right"/>
              <w:ind w:right="410"/>
              <w:spacing w:after="0" w:line="195" w:lineRule="exact"/>
              <w:rPr>
                <w:sz w:val="20"/>
                <w:szCs w:val="20"/>
                <w:color w:val="auto"/>
              </w:rPr>
            </w:pPr>
            <w:r>
              <w:rPr>
                <w:rFonts w:ascii="Arial" w:cs="Arial" w:eastAsia="Arial" w:hAnsi="Arial"/>
                <w:sz w:val="18"/>
                <w:szCs w:val="18"/>
                <w:b w:val="1"/>
                <w:bCs w:val="1"/>
                <w:color w:val="auto"/>
                <w:w w:val="94"/>
              </w:rPr>
              <w:t>2022</w:t>
            </w:r>
          </w:p>
        </w:tc>
        <w:tc>
          <w:tcPr>
            <w:tcW w:w="20" w:type="dxa"/>
            <w:vAlign w:val="bottom"/>
          </w:tcPr>
          <w:p>
            <w:pPr>
              <w:spacing w:after="0"/>
              <w:rPr>
                <w:sz w:val="16"/>
                <w:szCs w:val="16"/>
                <w:color w:val="auto"/>
              </w:rPr>
            </w:pPr>
          </w:p>
        </w:tc>
        <w:tc>
          <w:tcPr>
            <w:tcW w:w="8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30"/>
        </w:trPr>
        <w:tc>
          <w:tcPr>
            <w:tcW w:w="3020" w:type="dxa"/>
            <w:vAlign w:val="bottom"/>
          </w:tcPr>
          <w:p>
            <w:pPr>
              <w:spacing w:after="0"/>
              <w:rPr>
                <w:sz w:val="20"/>
                <w:szCs w:val="20"/>
                <w:color w:val="auto"/>
              </w:rPr>
            </w:pPr>
          </w:p>
        </w:tc>
        <w:tc>
          <w:tcPr>
            <w:tcW w:w="1720" w:type="dxa"/>
            <w:vAlign w:val="bottom"/>
          </w:tcPr>
          <w:p>
            <w:pPr>
              <w:spacing w:after="0"/>
              <w:rPr>
                <w:sz w:val="20"/>
                <w:szCs w:val="20"/>
                <w:color w:val="auto"/>
              </w:rPr>
            </w:pPr>
          </w:p>
        </w:tc>
        <w:tc>
          <w:tcPr>
            <w:tcW w:w="136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4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0"/>
                <w:szCs w:val="20"/>
                <w:color w:val="auto"/>
              </w:rPr>
            </w:pPr>
          </w:p>
        </w:tc>
        <w:tc>
          <w:tcPr>
            <w:tcW w:w="134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900" w:type="dxa"/>
            <w:vAlign w:val="bottom"/>
          </w:tcPr>
          <w:p>
            <w:pPr>
              <w:jc w:val="right"/>
              <w:ind w:right="5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Net sales</w:t>
            </w:r>
          </w:p>
        </w:tc>
        <w:tc>
          <w:tcPr>
            <w:tcW w:w="1700" w:type="dxa"/>
            <w:vAlign w:val="bottom"/>
            <w:gridSpan w:val="2"/>
            <w:shd w:val="clear" w:color="auto" w:fill="EEEEEE"/>
          </w:tcPr>
          <w:p>
            <w:pPr>
              <w:jc w:val="right"/>
              <w:ind w:right="340"/>
              <w:spacing w:after="0"/>
              <w:rPr>
                <w:sz w:val="20"/>
                <w:szCs w:val="20"/>
                <w:color w:val="auto"/>
              </w:rPr>
            </w:pPr>
            <w:r>
              <w:rPr>
                <w:rFonts w:ascii="Arial" w:cs="Arial" w:eastAsia="Arial" w:hAnsi="Arial"/>
                <w:sz w:val="18"/>
                <w:szCs w:val="18"/>
                <w:color w:val="auto"/>
              </w:rPr>
              <w:t>7,283,281</w:t>
            </w:r>
          </w:p>
        </w:tc>
        <w:tc>
          <w:tcPr>
            <w:tcW w:w="440" w:type="dxa"/>
            <w:vAlign w:val="bottom"/>
            <w:shd w:val="clear" w:color="auto" w:fill="EEEEEE"/>
          </w:tcPr>
          <w:p>
            <w:pPr>
              <w:spacing w:after="0"/>
              <w:rPr>
                <w:sz w:val="18"/>
                <w:szCs w:val="18"/>
                <w:color w:val="auto"/>
              </w:rPr>
            </w:pPr>
          </w:p>
        </w:tc>
        <w:tc>
          <w:tcPr>
            <w:tcW w:w="12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678,772</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16,448,325</w:t>
            </w:r>
          </w:p>
        </w:tc>
        <w:tc>
          <w:tcPr>
            <w:tcW w:w="440" w:type="dxa"/>
            <w:vAlign w:val="bottom"/>
            <w:shd w:val="clear" w:color="auto" w:fill="EEEEEE"/>
          </w:tcPr>
          <w:p>
            <w:pPr>
              <w:spacing w:after="0"/>
              <w:rPr>
                <w:sz w:val="18"/>
                <w:szCs w:val="18"/>
                <w:color w:val="auto"/>
              </w:rPr>
            </w:pPr>
          </w:p>
        </w:tc>
        <w:tc>
          <w:tcPr>
            <w:tcW w:w="9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4,201,714</w:t>
            </w: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740" w:type="dxa"/>
            <w:vAlign w:val="bottom"/>
            <w:gridSpan w:val="2"/>
          </w:tcPr>
          <w:p>
            <w:pPr>
              <w:spacing w:after="0"/>
              <w:rPr>
                <w:sz w:val="20"/>
                <w:szCs w:val="20"/>
                <w:color w:val="auto"/>
              </w:rPr>
            </w:pPr>
            <w:r>
              <w:rPr>
                <w:rFonts w:ascii="Arial" w:cs="Arial" w:eastAsia="Arial" w:hAnsi="Arial"/>
                <w:sz w:val="18"/>
                <w:szCs w:val="18"/>
                <w:color w:val="auto"/>
              </w:rPr>
              <w:t>Cost of sales</w:t>
            </w:r>
          </w:p>
        </w:tc>
        <w:tc>
          <w:tcPr>
            <w:tcW w:w="1700" w:type="dxa"/>
            <w:vAlign w:val="bottom"/>
            <w:gridSpan w:val="2"/>
          </w:tcPr>
          <w:p>
            <w:pPr>
              <w:jc w:val="right"/>
              <w:ind w:right="280"/>
              <w:spacing w:after="0"/>
              <w:rPr>
                <w:sz w:val="20"/>
                <w:szCs w:val="20"/>
                <w:color w:val="auto"/>
              </w:rPr>
            </w:pPr>
            <w:r>
              <w:rPr>
                <w:rFonts w:ascii="Arial" w:cs="Arial" w:eastAsia="Arial" w:hAnsi="Arial"/>
                <w:sz w:val="18"/>
                <w:szCs w:val="18"/>
                <w:color w:val="auto"/>
              </w:rPr>
              <w:t>(7,231,912)</w:t>
            </w:r>
          </w:p>
        </w:tc>
        <w:tc>
          <w:tcPr>
            <w:tcW w:w="440" w:type="dxa"/>
            <w:vAlign w:val="bottom"/>
          </w:tcPr>
          <w:p>
            <w:pPr>
              <w:spacing w:after="0"/>
              <w:rPr>
                <w:sz w:val="19"/>
                <w:szCs w:val="19"/>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(634,166)</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(16,291,065)</w:t>
            </w:r>
          </w:p>
        </w:tc>
        <w:tc>
          <w:tcPr>
            <w:tcW w:w="440" w:type="dxa"/>
            <w:vAlign w:val="bottom"/>
          </w:tcPr>
          <w:p>
            <w:pPr>
              <w:spacing w:after="0"/>
              <w:rPr>
                <w:sz w:val="19"/>
                <w:szCs w:val="19"/>
                <w:color w:val="auto"/>
              </w:rPr>
            </w:pPr>
          </w:p>
        </w:tc>
        <w:tc>
          <w:tcPr>
            <w:tcW w:w="1000" w:type="dxa"/>
            <w:vAlign w:val="bottom"/>
            <w:gridSpan w:val="3"/>
          </w:tcPr>
          <w:p>
            <w:pPr>
              <w:jc w:val="right"/>
              <w:ind w:right="40"/>
              <w:spacing w:after="0"/>
              <w:rPr>
                <w:sz w:val="20"/>
                <w:szCs w:val="20"/>
                <w:color w:val="auto"/>
              </w:rPr>
            </w:pPr>
            <w:r>
              <w:rPr>
                <w:rFonts w:ascii="Arial" w:cs="Arial" w:eastAsia="Arial" w:hAnsi="Arial"/>
                <w:sz w:val="18"/>
                <w:szCs w:val="18"/>
                <w:color w:val="auto"/>
              </w:rPr>
              <w:t>(4,117,852)</w:t>
            </w:r>
          </w:p>
        </w:tc>
        <w:tc>
          <w:tcPr>
            <w:tcW w:w="0" w:type="dxa"/>
            <w:vAlign w:val="bottom"/>
          </w:tcPr>
          <w:p>
            <w:pPr>
              <w:spacing w:after="0"/>
              <w:rPr>
                <w:sz w:val="1"/>
                <w:szCs w:val="1"/>
                <w:color w:val="auto"/>
              </w:rPr>
            </w:pPr>
          </w:p>
        </w:tc>
      </w:tr>
      <w:tr>
        <w:trPr>
          <w:trHeight w:val="209"/>
        </w:trPr>
        <w:tc>
          <w:tcPr>
            <w:tcW w:w="4740" w:type="dxa"/>
            <w:vAlign w:val="bottom"/>
            <w:tcBorders>
              <w:top w:val="single" w:sz="8" w:color="EEEEEE"/>
            </w:tcBorders>
            <w:gridSpan w:val="2"/>
            <w:shd w:val="clear" w:color="auto" w:fill="EEEEEE"/>
          </w:tcPr>
          <w:p>
            <w:pPr>
              <w:spacing w:after="0"/>
              <w:rPr>
                <w:sz w:val="20"/>
                <w:szCs w:val="20"/>
                <w:color w:val="auto"/>
              </w:rPr>
            </w:pPr>
            <w:r>
              <w:rPr>
                <w:rFonts w:ascii="Arial" w:cs="Arial" w:eastAsia="Arial" w:hAnsi="Arial"/>
                <w:sz w:val="18"/>
                <w:szCs w:val="18"/>
                <w:b w:val="1"/>
                <w:bCs w:val="1"/>
                <w:color w:val="auto"/>
              </w:rPr>
              <w:t>Gross profit</w:t>
            </w:r>
          </w:p>
        </w:tc>
        <w:tc>
          <w:tcPr>
            <w:tcW w:w="13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51,369</w:t>
            </w:r>
          </w:p>
        </w:tc>
        <w:tc>
          <w:tcPr>
            <w:tcW w:w="340" w:type="dxa"/>
            <w:vAlign w:val="bottom"/>
            <w:tcBorders>
              <w:top w:val="single" w:sz="8" w:color="EEEEEE"/>
            </w:tcBorders>
            <w:shd w:val="clear" w:color="auto" w:fill="EEEEEE"/>
          </w:tcPr>
          <w:p>
            <w:pPr>
              <w:spacing w:after="0"/>
              <w:rPr>
                <w:sz w:val="18"/>
                <w:szCs w:val="18"/>
                <w:color w:val="auto"/>
              </w:rPr>
            </w:pPr>
          </w:p>
        </w:tc>
        <w:tc>
          <w:tcPr>
            <w:tcW w:w="440" w:type="dxa"/>
            <w:vAlign w:val="bottom"/>
            <w:tcBorders>
              <w:top w:val="single" w:sz="8" w:color="auto"/>
              <w:bottom w:val="single" w:sz="8" w:color="auto"/>
            </w:tcBorders>
            <w:shd w:val="clear" w:color="auto" w:fill="EEEEEE"/>
          </w:tcPr>
          <w:p>
            <w:pPr>
              <w:spacing w:after="0"/>
              <w:rPr>
                <w:sz w:val="18"/>
                <w:szCs w:val="18"/>
                <w:color w:val="auto"/>
              </w:rPr>
            </w:pPr>
          </w:p>
        </w:tc>
        <w:tc>
          <w:tcPr>
            <w:tcW w:w="9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44,606</w:t>
            </w:r>
          </w:p>
        </w:tc>
        <w:tc>
          <w:tcPr>
            <w:tcW w:w="320" w:type="dxa"/>
            <w:vAlign w:val="bottom"/>
            <w:tcBorders>
              <w:top w:val="single" w:sz="8" w:color="EEEEEE"/>
            </w:tcBorders>
            <w:shd w:val="clear" w:color="auto" w:fill="EEEEEE"/>
          </w:tcPr>
          <w:p>
            <w:pPr>
              <w:spacing w:after="0"/>
              <w:rPr>
                <w:sz w:val="18"/>
                <w:szCs w:val="18"/>
                <w:color w:val="auto"/>
              </w:rPr>
            </w:pPr>
          </w:p>
        </w:tc>
        <w:tc>
          <w:tcPr>
            <w:tcW w:w="13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157,260</w:t>
            </w:r>
          </w:p>
        </w:tc>
        <w:tc>
          <w:tcPr>
            <w:tcW w:w="320" w:type="dxa"/>
            <w:vAlign w:val="bottom"/>
            <w:tcBorders>
              <w:top w:val="single" w:sz="8" w:color="EEEEEE"/>
            </w:tcBorders>
            <w:shd w:val="clear" w:color="auto" w:fill="EEEEEE"/>
          </w:tcPr>
          <w:p>
            <w:pPr>
              <w:spacing w:after="0"/>
              <w:rPr>
                <w:sz w:val="18"/>
                <w:szCs w:val="18"/>
                <w:color w:val="auto"/>
              </w:rPr>
            </w:pPr>
          </w:p>
        </w:tc>
        <w:tc>
          <w:tcPr>
            <w:tcW w:w="440" w:type="dxa"/>
            <w:vAlign w:val="bottom"/>
            <w:tcBorders>
              <w:top w:val="single" w:sz="8" w:color="auto"/>
              <w:bottom w:val="single" w:sz="8" w:color="auto"/>
            </w:tcBorders>
            <w:shd w:val="clear" w:color="auto" w:fill="EEEEEE"/>
          </w:tcPr>
          <w:p>
            <w:pPr>
              <w:spacing w:after="0"/>
              <w:rPr>
                <w:sz w:val="18"/>
                <w:szCs w:val="18"/>
                <w:color w:val="auto"/>
              </w:rPr>
            </w:pPr>
          </w:p>
        </w:tc>
        <w:tc>
          <w:tcPr>
            <w:tcW w:w="9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83,862</w:t>
            </w:r>
          </w:p>
        </w:tc>
        <w:tc>
          <w:tcPr>
            <w:tcW w:w="100" w:type="dxa"/>
            <w:vAlign w:val="bottom"/>
            <w:tcBorders>
              <w:top w:val="single" w:sz="8" w:color="EEEEEE"/>
            </w:tcBorders>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30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Operating expenses</w:t>
            </w:r>
          </w:p>
        </w:tc>
        <w:tc>
          <w:tcPr>
            <w:tcW w:w="13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color w:val="auto"/>
              </w:rPr>
              <w:t>General and administrative expenses</w:t>
            </w:r>
          </w:p>
        </w:tc>
        <w:tc>
          <w:tcPr>
            <w:tcW w:w="1700" w:type="dxa"/>
            <w:vAlign w:val="bottom"/>
            <w:gridSpan w:val="2"/>
          </w:tcPr>
          <w:p>
            <w:pPr>
              <w:jc w:val="right"/>
              <w:ind w:right="280"/>
              <w:spacing w:after="0"/>
              <w:rPr>
                <w:sz w:val="20"/>
                <w:szCs w:val="20"/>
                <w:color w:val="auto"/>
              </w:rPr>
            </w:pPr>
            <w:r>
              <w:rPr>
                <w:rFonts w:ascii="Arial" w:cs="Arial" w:eastAsia="Arial" w:hAnsi="Arial"/>
                <w:sz w:val="18"/>
                <w:szCs w:val="18"/>
                <w:color w:val="auto"/>
              </w:rPr>
              <w:t>(319,762)</w:t>
            </w:r>
          </w:p>
        </w:tc>
        <w:tc>
          <w:tcPr>
            <w:tcW w:w="440" w:type="dxa"/>
            <w:vAlign w:val="bottom"/>
          </w:tcPr>
          <w:p>
            <w:pPr>
              <w:spacing w:after="0"/>
              <w:rPr>
                <w:sz w:val="18"/>
                <w:szCs w:val="18"/>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(852,795)</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(1,747,766)</w:t>
            </w:r>
          </w:p>
        </w:tc>
        <w:tc>
          <w:tcPr>
            <w:tcW w:w="440" w:type="dxa"/>
            <w:vAlign w:val="bottom"/>
          </w:tcPr>
          <w:p>
            <w:pPr>
              <w:spacing w:after="0"/>
              <w:rPr>
                <w:sz w:val="18"/>
                <w:szCs w:val="18"/>
                <w:color w:val="auto"/>
              </w:rPr>
            </w:pPr>
          </w:p>
        </w:tc>
        <w:tc>
          <w:tcPr>
            <w:tcW w:w="1000" w:type="dxa"/>
            <w:vAlign w:val="bottom"/>
            <w:gridSpan w:val="3"/>
          </w:tcPr>
          <w:p>
            <w:pPr>
              <w:jc w:val="right"/>
              <w:ind w:right="40"/>
              <w:spacing w:after="0"/>
              <w:rPr>
                <w:sz w:val="20"/>
                <w:szCs w:val="20"/>
                <w:color w:val="auto"/>
              </w:rPr>
            </w:pPr>
            <w:r>
              <w:rPr>
                <w:rFonts w:ascii="Arial" w:cs="Arial" w:eastAsia="Arial" w:hAnsi="Arial"/>
                <w:sz w:val="18"/>
                <w:szCs w:val="18"/>
                <w:color w:val="auto"/>
              </w:rPr>
              <w:t>(2,092,696)</w:t>
            </w:r>
          </w:p>
        </w:tc>
        <w:tc>
          <w:tcPr>
            <w:tcW w:w="0" w:type="dxa"/>
            <w:vAlign w:val="bottom"/>
          </w:tcPr>
          <w:p>
            <w:pPr>
              <w:spacing w:after="0"/>
              <w:rPr>
                <w:sz w:val="1"/>
                <w:szCs w:val="1"/>
                <w:color w:val="auto"/>
              </w:rPr>
            </w:pPr>
          </w:p>
        </w:tc>
      </w:tr>
      <w:tr>
        <w:trPr>
          <w:trHeight w:val="229"/>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Total operating expenses</w:t>
            </w:r>
          </w:p>
        </w:tc>
        <w:tc>
          <w:tcPr>
            <w:tcW w:w="1700" w:type="dxa"/>
            <w:vAlign w:val="bottom"/>
            <w:gridSpan w:val="2"/>
            <w:shd w:val="clear" w:color="auto" w:fill="EEEEEE"/>
          </w:tcPr>
          <w:p>
            <w:pPr>
              <w:jc w:val="right"/>
              <w:ind w:right="280"/>
              <w:spacing w:after="0"/>
              <w:rPr>
                <w:sz w:val="20"/>
                <w:szCs w:val="20"/>
                <w:color w:val="auto"/>
              </w:rPr>
            </w:pPr>
            <w:r>
              <w:rPr>
                <w:rFonts w:ascii="Arial" w:cs="Arial" w:eastAsia="Arial" w:hAnsi="Arial"/>
                <w:sz w:val="18"/>
                <w:szCs w:val="18"/>
                <w:color w:val="auto"/>
              </w:rPr>
              <w:t>(319,762)</w:t>
            </w:r>
          </w:p>
        </w:tc>
        <w:tc>
          <w:tcPr>
            <w:tcW w:w="440" w:type="dxa"/>
            <w:vAlign w:val="bottom"/>
            <w:shd w:val="clear" w:color="auto" w:fill="EEEEEE"/>
          </w:tcPr>
          <w:p>
            <w:pPr>
              <w:spacing w:after="0"/>
              <w:rPr>
                <w:sz w:val="19"/>
                <w:szCs w:val="19"/>
                <w:color w:val="auto"/>
              </w:rPr>
            </w:pPr>
          </w:p>
        </w:tc>
        <w:tc>
          <w:tcPr>
            <w:tcW w:w="12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(852,795)</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(1,747,766)</w:t>
            </w:r>
          </w:p>
        </w:tc>
        <w:tc>
          <w:tcPr>
            <w:tcW w:w="440" w:type="dxa"/>
            <w:vAlign w:val="bottom"/>
            <w:shd w:val="clear" w:color="auto" w:fill="EEEEEE"/>
          </w:tcPr>
          <w:p>
            <w:pPr>
              <w:spacing w:after="0"/>
              <w:rPr>
                <w:sz w:val="19"/>
                <w:szCs w:val="19"/>
                <w:color w:val="auto"/>
              </w:rPr>
            </w:pPr>
          </w:p>
        </w:tc>
        <w:tc>
          <w:tcPr>
            <w:tcW w:w="10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(2,092,696)</w:t>
            </w:r>
          </w:p>
        </w:tc>
        <w:tc>
          <w:tcPr>
            <w:tcW w:w="0" w:type="dxa"/>
            <w:vAlign w:val="bottom"/>
          </w:tcPr>
          <w:p>
            <w:pPr>
              <w:spacing w:after="0"/>
              <w:rPr>
                <w:sz w:val="1"/>
                <w:szCs w:val="1"/>
                <w:color w:val="auto"/>
              </w:rPr>
            </w:pPr>
          </w:p>
        </w:tc>
      </w:tr>
      <w:tr>
        <w:trPr>
          <w:trHeight w:val="210"/>
        </w:trPr>
        <w:tc>
          <w:tcPr>
            <w:tcW w:w="30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Loss from operations</w:t>
            </w:r>
          </w:p>
        </w:tc>
        <w:tc>
          <w:tcPr>
            <w:tcW w:w="1700" w:type="dxa"/>
            <w:vAlign w:val="bottom"/>
            <w:gridSpan w:val="2"/>
            <w:shd w:val="clear" w:color="auto" w:fill="EEEEEE"/>
          </w:tcPr>
          <w:p>
            <w:pPr>
              <w:jc w:val="right"/>
              <w:ind w:right="280"/>
              <w:spacing w:after="0"/>
              <w:rPr>
                <w:sz w:val="20"/>
                <w:szCs w:val="20"/>
                <w:color w:val="auto"/>
              </w:rPr>
            </w:pPr>
            <w:r>
              <w:rPr>
                <w:rFonts w:ascii="Arial" w:cs="Arial" w:eastAsia="Arial" w:hAnsi="Arial"/>
                <w:sz w:val="18"/>
                <w:szCs w:val="18"/>
                <w:color w:val="auto"/>
              </w:rPr>
              <w:t>(268,393)</w:t>
            </w:r>
          </w:p>
        </w:tc>
        <w:tc>
          <w:tcPr>
            <w:tcW w:w="440" w:type="dxa"/>
            <w:vAlign w:val="bottom"/>
            <w:shd w:val="clear" w:color="auto" w:fill="EEEEEE"/>
          </w:tcPr>
          <w:p>
            <w:pPr>
              <w:spacing w:after="0"/>
              <w:rPr>
                <w:sz w:val="18"/>
                <w:szCs w:val="18"/>
                <w:color w:val="auto"/>
              </w:rPr>
            </w:pPr>
          </w:p>
        </w:tc>
        <w:tc>
          <w:tcPr>
            <w:tcW w:w="12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(808,189)</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(1,590,506)</w:t>
            </w:r>
          </w:p>
        </w:tc>
        <w:tc>
          <w:tcPr>
            <w:tcW w:w="440" w:type="dxa"/>
            <w:vAlign w:val="bottom"/>
            <w:shd w:val="clear" w:color="auto" w:fill="EEEEEE"/>
          </w:tcPr>
          <w:p>
            <w:pPr>
              <w:spacing w:after="0"/>
              <w:rPr>
                <w:sz w:val="18"/>
                <w:szCs w:val="18"/>
                <w:color w:val="auto"/>
              </w:rPr>
            </w:pPr>
          </w:p>
        </w:tc>
        <w:tc>
          <w:tcPr>
            <w:tcW w:w="10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(2,008,832)</w:t>
            </w:r>
          </w:p>
        </w:tc>
        <w:tc>
          <w:tcPr>
            <w:tcW w:w="0" w:type="dxa"/>
            <w:vAlign w:val="bottom"/>
          </w:tcPr>
          <w:p>
            <w:pPr>
              <w:spacing w:after="0"/>
              <w:rPr>
                <w:sz w:val="1"/>
                <w:szCs w:val="1"/>
                <w:color w:val="auto"/>
              </w:rPr>
            </w:pPr>
          </w:p>
        </w:tc>
      </w:tr>
      <w:tr>
        <w:trPr>
          <w:trHeight w:val="216"/>
        </w:trPr>
        <w:tc>
          <w:tcPr>
            <w:tcW w:w="30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Other income (expense)</w:t>
            </w:r>
          </w:p>
        </w:tc>
        <w:tc>
          <w:tcPr>
            <w:tcW w:w="1700" w:type="dxa"/>
            <w:vAlign w:val="bottom"/>
            <w:gridSpan w:val="2"/>
            <w:shd w:val="clear" w:color="auto" w:fill="EEEEEE"/>
          </w:tcPr>
          <w:p>
            <w:pPr>
              <w:jc w:val="right"/>
              <w:ind w:right="280"/>
              <w:spacing w:after="0"/>
              <w:rPr>
                <w:sz w:val="20"/>
                <w:szCs w:val="20"/>
                <w:color w:val="auto"/>
              </w:rPr>
            </w:pPr>
            <w:r>
              <w:rPr>
                <w:rFonts w:ascii="Arial" w:cs="Arial" w:eastAsia="Arial" w:hAnsi="Arial"/>
                <w:sz w:val="18"/>
                <w:szCs w:val="18"/>
                <w:color w:val="auto"/>
              </w:rPr>
              <w:t>(4,385)</w:t>
            </w:r>
          </w:p>
        </w:tc>
        <w:tc>
          <w:tcPr>
            <w:tcW w:w="440" w:type="dxa"/>
            <w:vAlign w:val="bottom"/>
            <w:shd w:val="clear" w:color="auto" w:fill="EEEEEE"/>
          </w:tcPr>
          <w:p>
            <w:pPr>
              <w:spacing w:after="0"/>
              <w:rPr>
                <w:sz w:val="19"/>
                <w:szCs w:val="19"/>
                <w:color w:val="auto"/>
              </w:rPr>
            </w:pPr>
          </w:p>
        </w:tc>
        <w:tc>
          <w:tcPr>
            <w:tcW w:w="12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7,934</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(16,773)</w:t>
            </w:r>
          </w:p>
        </w:tc>
        <w:tc>
          <w:tcPr>
            <w:tcW w:w="440" w:type="dxa"/>
            <w:vAlign w:val="bottom"/>
            <w:shd w:val="clear" w:color="auto" w:fill="EEEEEE"/>
          </w:tcPr>
          <w:p>
            <w:pPr>
              <w:spacing w:after="0"/>
              <w:rPr>
                <w:sz w:val="19"/>
                <w:szCs w:val="19"/>
                <w:color w:val="auto"/>
              </w:rPr>
            </w:pPr>
          </w:p>
        </w:tc>
        <w:tc>
          <w:tcPr>
            <w:tcW w:w="9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8,052</w:t>
            </w:r>
          </w:p>
        </w:tc>
        <w:tc>
          <w:tcPr>
            <w:tcW w:w="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4740" w:type="dxa"/>
            <w:vAlign w:val="bottom"/>
            <w:gridSpan w:val="2"/>
          </w:tcPr>
          <w:p>
            <w:pPr>
              <w:spacing w:after="0"/>
              <w:rPr>
                <w:sz w:val="20"/>
                <w:szCs w:val="20"/>
                <w:color w:val="auto"/>
              </w:rPr>
            </w:pPr>
            <w:r>
              <w:rPr>
                <w:rFonts w:ascii="Arial" w:cs="Arial" w:eastAsia="Arial" w:hAnsi="Arial"/>
                <w:sz w:val="18"/>
                <w:szCs w:val="18"/>
                <w:b w:val="1"/>
                <w:bCs w:val="1"/>
                <w:color w:val="auto"/>
              </w:rPr>
              <w:t>Loss before income taxes</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(272,778)</w:t>
            </w:r>
          </w:p>
        </w:tc>
        <w:tc>
          <w:tcPr>
            <w:tcW w:w="34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(800,255)</w:t>
            </w:r>
          </w:p>
        </w:tc>
        <w:tc>
          <w:tcPr>
            <w:tcW w:w="32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(1,607,279)</w:t>
            </w:r>
          </w:p>
        </w:tc>
        <w:tc>
          <w:tcPr>
            <w:tcW w:w="32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w w:val="95"/>
              </w:rPr>
              <w:t>(2,000,780)</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shd w:val="clear" w:color="auto" w:fill="EEEEEE"/>
          </w:tcPr>
          <w:p>
            <w:pPr>
              <w:spacing w:after="0"/>
              <w:rPr>
                <w:sz w:val="18"/>
                <w:szCs w:val="18"/>
                <w:color w:val="auto"/>
              </w:rPr>
            </w:pPr>
          </w:p>
        </w:tc>
        <w:tc>
          <w:tcPr>
            <w:tcW w:w="17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740" w:type="dxa"/>
            <w:vAlign w:val="bottom"/>
            <w:gridSpan w:val="2"/>
          </w:tcPr>
          <w:p>
            <w:pPr>
              <w:spacing w:after="0"/>
              <w:rPr>
                <w:sz w:val="20"/>
                <w:szCs w:val="20"/>
                <w:color w:val="auto"/>
              </w:rPr>
            </w:pPr>
            <w:r>
              <w:rPr>
                <w:rFonts w:ascii="Arial" w:cs="Arial" w:eastAsia="Arial" w:hAnsi="Arial"/>
                <w:sz w:val="18"/>
                <w:szCs w:val="18"/>
                <w:color w:val="auto"/>
              </w:rPr>
              <w:t>Income tax expense</w:t>
            </w:r>
          </w:p>
        </w:tc>
        <w:tc>
          <w:tcPr>
            <w:tcW w:w="2140" w:type="dxa"/>
            <w:vAlign w:val="bottom"/>
            <w:gridSpan w:val="3"/>
          </w:tcPr>
          <w:p>
            <w:pPr>
              <w:jc w:val="right"/>
              <w:ind w:right="78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100" w:type="dxa"/>
            <w:vAlign w:val="bottom"/>
            <w:gridSpan w:val="3"/>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00"/>
              <w:spacing w:after="0"/>
              <w:rPr>
                <w:sz w:val="20"/>
                <w:szCs w:val="20"/>
                <w:color w:val="auto"/>
              </w:rPr>
            </w:pPr>
            <w:r>
              <w:rPr>
                <w:rFonts w:ascii="Arial" w:cs="Arial" w:eastAsia="Arial" w:hAnsi="Arial"/>
                <w:sz w:val="18"/>
                <w:szCs w:val="18"/>
                <w:color w:val="auto"/>
              </w:rPr>
              <w:t>422</w:t>
            </w:r>
          </w:p>
        </w:tc>
        <w:tc>
          <w:tcPr>
            <w:tcW w:w="0" w:type="dxa"/>
            <w:vAlign w:val="bottom"/>
          </w:tcPr>
          <w:p>
            <w:pPr>
              <w:spacing w:after="0"/>
              <w:rPr>
                <w:sz w:val="1"/>
                <w:szCs w:val="1"/>
                <w:color w:val="auto"/>
              </w:rPr>
            </w:pPr>
          </w:p>
        </w:tc>
      </w:tr>
      <w:tr>
        <w:trPr>
          <w:trHeight w:val="210"/>
        </w:trPr>
        <w:tc>
          <w:tcPr>
            <w:tcW w:w="4740" w:type="dxa"/>
            <w:vAlign w:val="bottom"/>
            <w:tcBorders>
              <w:top w:val="single" w:sz="8" w:color="EEEEEE"/>
            </w:tcBorders>
            <w:gridSpan w:val="2"/>
            <w:shd w:val="clear" w:color="auto" w:fill="EEEEEE"/>
          </w:tcPr>
          <w:p>
            <w:pPr>
              <w:spacing w:after="0"/>
              <w:rPr>
                <w:sz w:val="20"/>
                <w:szCs w:val="20"/>
                <w:color w:val="auto"/>
              </w:rPr>
            </w:pPr>
            <w:r>
              <w:rPr>
                <w:rFonts w:ascii="Arial" w:cs="Arial" w:eastAsia="Arial" w:hAnsi="Arial"/>
                <w:sz w:val="18"/>
                <w:szCs w:val="18"/>
                <w:b w:val="1"/>
                <w:bCs w:val="1"/>
                <w:color w:val="auto"/>
              </w:rPr>
              <w:t>Net loss from continuing operations</w:t>
            </w:r>
          </w:p>
        </w:tc>
        <w:tc>
          <w:tcPr>
            <w:tcW w:w="13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(272,778)</w:t>
            </w:r>
          </w:p>
        </w:tc>
        <w:tc>
          <w:tcPr>
            <w:tcW w:w="340" w:type="dxa"/>
            <w:vAlign w:val="bottom"/>
            <w:tcBorders>
              <w:top w:val="single" w:sz="8" w:color="EEEEEE"/>
            </w:tcBorders>
            <w:shd w:val="clear" w:color="auto" w:fill="EEEEEE"/>
          </w:tcPr>
          <w:p>
            <w:pPr>
              <w:spacing w:after="0"/>
              <w:rPr>
                <w:sz w:val="18"/>
                <w:szCs w:val="18"/>
                <w:color w:val="auto"/>
              </w:rPr>
            </w:pPr>
          </w:p>
        </w:tc>
        <w:tc>
          <w:tcPr>
            <w:tcW w:w="440" w:type="dxa"/>
            <w:vAlign w:val="bottom"/>
            <w:tcBorders>
              <w:top w:val="single" w:sz="8" w:color="auto"/>
            </w:tcBorders>
            <w:shd w:val="clear" w:color="auto" w:fill="EEEEEE"/>
          </w:tcPr>
          <w:p>
            <w:pPr>
              <w:spacing w:after="0"/>
              <w:rPr>
                <w:sz w:val="18"/>
                <w:szCs w:val="18"/>
                <w:color w:val="auto"/>
              </w:rPr>
            </w:pPr>
          </w:p>
        </w:tc>
        <w:tc>
          <w:tcPr>
            <w:tcW w:w="94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(800,255)</w:t>
            </w:r>
          </w:p>
        </w:tc>
        <w:tc>
          <w:tcPr>
            <w:tcW w:w="320" w:type="dxa"/>
            <w:vAlign w:val="bottom"/>
            <w:tcBorders>
              <w:top w:val="single" w:sz="8" w:color="EEEEEE"/>
            </w:tcBorders>
            <w:shd w:val="clear" w:color="auto" w:fill="EEEEEE"/>
          </w:tcPr>
          <w:p>
            <w:pPr>
              <w:spacing w:after="0"/>
              <w:rPr>
                <w:sz w:val="18"/>
                <w:szCs w:val="18"/>
                <w:color w:val="auto"/>
              </w:rPr>
            </w:pPr>
          </w:p>
        </w:tc>
        <w:tc>
          <w:tcPr>
            <w:tcW w:w="134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(1,607,279)</w:t>
            </w:r>
          </w:p>
        </w:tc>
        <w:tc>
          <w:tcPr>
            <w:tcW w:w="320" w:type="dxa"/>
            <w:vAlign w:val="bottom"/>
            <w:tcBorders>
              <w:top w:val="single" w:sz="8" w:color="EEEEEE"/>
            </w:tcBorders>
            <w:shd w:val="clear" w:color="auto" w:fill="EEEEEE"/>
          </w:tcPr>
          <w:p>
            <w:pPr>
              <w:spacing w:after="0"/>
              <w:rPr>
                <w:sz w:val="18"/>
                <w:szCs w:val="18"/>
                <w:color w:val="auto"/>
              </w:rPr>
            </w:pPr>
          </w:p>
        </w:tc>
        <w:tc>
          <w:tcPr>
            <w:tcW w:w="440" w:type="dxa"/>
            <w:vAlign w:val="bottom"/>
            <w:tcBorders>
              <w:top w:val="single" w:sz="8" w:color="auto"/>
            </w:tcBorders>
            <w:shd w:val="clear" w:color="auto" w:fill="EEEEEE"/>
          </w:tcPr>
          <w:p>
            <w:pPr>
              <w:spacing w:after="0"/>
              <w:rPr>
                <w:sz w:val="18"/>
                <w:szCs w:val="18"/>
                <w:color w:val="auto"/>
              </w:rPr>
            </w:pPr>
          </w:p>
        </w:tc>
        <w:tc>
          <w:tcPr>
            <w:tcW w:w="9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w w:val="95"/>
              </w:rPr>
              <w:t>(2,000,358)</w:t>
            </w:r>
          </w:p>
        </w:tc>
        <w:tc>
          <w:tcPr>
            <w:tcW w:w="100" w:type="dxa"/>
            <w:vAlign w:val="bottom"/>
            <w:tcBorders>
              <w:top w:val="single" w:sz="8" w:color="EEEEEE"/>
            </w:tcBorders>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Net loss from discontinued operations</w:t>
            </w:r>
          </w:p>
        </w:tc>
        <w:tc>
          <w:tcPr>
            <w:tcW w:w="13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color w:val="auto"/>
              </w:rPr>
              <w:t>Loss on disposal</w:t>
            </w:r>
          </w:p>
        </w:tc>
        <w:tc>
          <w:tcPr>
            <w:tcW w:w="2140" w:type="dxa"/>
            <w:vAlign w:val="bottom"/>
            <w:gridSpan w:val="3"/>
          </w:tcPr>
          <w:p>
            <w:pPr>
              <w:jc w:val="right"/>
              <w:ind w:right="78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2100" w:type="dxa"/>
            <w:vAlign w:val="bottom"/>
            <w:gridSpan w:val="3"/>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9"/>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Income from discontinued operations</w:t>
            </w:r>
          </w:p>
        </w:tc>
        <w:tc>
          <w:tcPr>
            <w:tcW w:w="2140" w:type="dxa"/>
            <w:vAlign w:val="bottom"/>
            <w:gridSpan w:val="3"/>
            <w:shd w:val="clear" w:color="auto" w:fill="EEEEEE"/>
          </w:tcPr>
          <w:p>
            <w:pPr>
              <w:jc w:val="right"/>
              <w:ind w:right="780"/>
              <w:spacing w:after="0"/>
              <w:rPr>
                <w:sz w:val="20"/>
                <w:szCs w:val="20"/>
                <w:color w:val="auto"/>
              </w:rPr>
            </w:pPr>
            <w:r>
              <w:rPr>
                <w:rFonts w:ascii="Arial" w:cs="Arial" w:eastAsia="Arial" w:hAnsi="Arial"/>
                <w:sz w:val="18"/>
                <w:szCs w:val="18"/>
                <w:color w:val="auto"/>
              </w:rPr>
              <w:t>–</w:t>
            </w:r>
          </w:p>
        </w:tc>
        <w:tc>
          <w:tcPr>
            <w:tcW w:w="12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(60,468)</w:t>
            </w:r>
          </w:p>
        </w:tc>
        <w:tc>
          <w:tcPr>
            <w:tcW w:w="2100" w:type="dxa"/>
            <w:vAlign w:val="bottom"/>
            <w:gridSpan w:val="3"/>
            <w:shd w:val="clear" w:color="auto" w:fill="EEEEEE"/>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(50,062)</w:t>
            </w:r>
          </w:p>
        </w:tc>
        <w:tc>
          <w:tcPr>
            <w:tcW w:w="0" w:type="dxa"/>
            <w:vAlign w:val="bottom"/>
          </w:tcPr>
          <w:p>
            <w:pPr>
              <w:spacing w:after="0"/>
              <w:rPr>
                <w:sz w:val="1"/>
                <w:szCs w:val="1"/>
                <w:color w:val="auto"/>
              </w:rPr>
            </w:pPr>
          </w:p>
        </w:tc>
      </w:tr>
      <w:tr>
        <w:trPr>
          <w:trHeight w:val="210"/>
        </w:trPr>
        <w:tc>
          <w:tcPr>
            <w:tcW w:w="4740" w:type="dxa"/>
            <w:vAlign w:val="bottom"/>
            <w:gridSpan w:val="2"/>
          </w:tcPr>
          <w:p>
            <w:pPr>
              <w:spacing w:after="0"/>
              <w:rPr>
                <w:sz w:val="20"/>
                <w:szCs w:val="20"/>
                <w:color w:val="auto"/>
              </w:rPr>
            </w:pPr>
            <w:r>
              <w:rPr>
                <w:rFonts w:ascii="Arial" w:cs="Arial" w:eastAsia="Arial" w:hAnsi="Arial"/>
                <w:sz w:val="18"/>
                <w:szCs w:val="18"/>
                <w:b w:val="1"/>
                <w:bCs w:val="1"/>
                <w:color w:val="auto"/>
              </w:rPr>
              <w:t>Net income from discontinued operations</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4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(60,468)</w:t>
            </w:r>
          </w:p>
        </w:tc>
        <w:tc>
          <w:tcPr>
            <w:tcW w:w="32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9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(50,062)</w:t>
            </w:r>
          </w:p>
        </w:tc>
        <w:tc>
          <w:tcPr>
            <w:tcW w:w="100" w:type="dxa"/>
            <w:vAlign w:val="bottom"/>
            <w:gridSpan w:val="2"/>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shd w:val="clear" w:color="auto" w:fill="EEEEEE"/>
          </w:tcPr>
          <w:p>
            <w:pPr>
              <w:spacing w:after="0"/>
              <w:rPr>
                <w:sz w:val="18"/>
                <w:szCs w:val="18"/>
                <w:color w:val="auto"/>
              </w:rPr>
            </w:pPr>
          </w:p>
        </w:tc>
        <w:tc>
          <w:tcPr>
            <w:tcW w:w="17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9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b w:val="1"/>
                <w:bCs w:val="1"/>
                <w:color w:val="auto"/>
              </w:rPr>
              <w:t>Net loss</w:t>
            </w: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Less: Net loss attributable to non-controlling interests</w:t>
            </w:r>
          </w:p>
        </w:tc>
        <w:tc>
          <w:tcPr>
            <w:tcW w:w="1700" w:type="dxa"/>
            <w:vAlign w:val="bottom"/>
            <w:gridSpan w:val="2"/>
            <w:shd w:val="clear" w:color="auto" w:fill="EEEEEE"/>
          </w:tcPr>
          <w:p>
            <w:pPr>
              <w:jc w:val="right"/>
              <w:ind w:right="280"/>
              <w:spacing w:after="0"/>
              <w:rPr>
                <w:sz w:val="20"/>
                <w:szCs w:val="20"/>
                <w:color w:val="auto"/>
              </w:rPr>
            </w:pPr>
            <w:r>
              <w:rPr>
                <w:rFonts w:ascii="Arial" w:cs="Arial" w:eastAsia="Arial" w:hAnsi="Arial"/>
                <w:sz w:val="18"/>
                <w:szCs w:val="18"/>
                <w:color w:val="auto"/>
              </w:rPr>
              <w:t>(8,719)</w:t>
            </w:r>
          </w:p>
        </w:tc>
        <w:tc>
          <w:tcPr>
            <w:tcW w:w="440" w:type="dxa"/>
            <w:vAlign w:val="bottom"/>
            <w:shd w:val="clear" w:color="auto" w:fill="EEEEEE"/>
          </w:tcPr>
          <w:p>
            <w:pPr>
              <w:spacing w:after="0"/>
              <w:rPr>
                <w:sz w:val="19"/>
                <w:szCs w:val="19"/>
                <w:color w:val="auto"/>
              </w:rPr>
            </w:pPr>
          </w:p>
        </w:tc>
        <w:tc>
          <w:tcPr>
            <w:tcW w:w="12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4,767</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(44,198)</w:t>
            </w:r>
          </w:p>
        </w:tc>
        <w:tc>
          <w:tcPr>
            <w:tcW w:w="440" w:type="dxa"/>
            <w:vAlign w:val="bottom"/>
            <w:shd w:val="clear" w:color="auto" w:fill="EEEEEE"/>
          </w:tcPr>
          <w:p>
            <w:pPr>
              <w:spacing w:after="0"/>
              <w:rPr>
                <w:sz w:val="19"/>
                <w:szCs w:val="19"/>
                <w:color w:val="auto"/>
              </w:rPr>
            </w:pPr>
          </w:p>
        </w:tc>
        <w:tc>
          <w:tcPr>
            <w:tcW w:w="9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4,767</w:t>
            </w:r>
          </w:p>
        </w:tc>
        <w:tc>
          <w:tcPr>
            <w:tcW w:w="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63"/>
        </w:trPr>
        <w:tc>
          <w:tcPr>
            <w:tcW w:w="474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b w:val="1"/>
                <w:bCs w:val="1"/>
                <w:color w:val="auto"/>
              </w:rPr>
              <w:t>Net loss attributable to the company</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(264,059)</w:t>
            </w:r>
          </w:p>
        </w:tc>
        <w:tc>
          <w:tcPr>
            <w:tcW w:w="340" w:type="dxa"/>
            <w:vAlign w:val="bottom"/>
            <w:tcBorders>
              <w:bottom w:val="single" w:sz="8" w:color="EEEEEE"/>
            </w:tcBorders>
          </w:tcPr>
          <w:p>
            <w:pPr>
              <w:spacing w:after="0"/>
              <w:rPr>
                <w:sz w:val="22"/>
                <w:szCs w:val="22"/>
                <w:color w:val="auto"/>
              </w:rPr>
            </w:pPr>
          </w:p>
        </w:tc>
        <w:tc>
          <w:tcPr>
            <w:tcW w:w="44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(865,490)</w:t>
            </w:r>
          </w:p>
        </w:tc>
        <w:tc>
          <w:tcPr>
            <w:tcW w:w="320" w:type="dxa"/>
            <w:vAlign w:val="bottom"/>
            <w:tcBorders>
              <w:bottom w:val="single" w:sz="8" w:color="EEEEEE"/>
            </w:tcBorders>
          </w:tcPr>
          <w:p>
            <w:pPr>
              <w:spacing w:after="0"/>
              <w:rPr>
                <w:sz w:val="22"/>
                <w:szCs w:val="22"/>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(1,563,081)</w:t>
            </w:r>
          </w:p>
        </w:tc>
        <w:tc>
          <w:tcPr>
            <w:tcW w:w="320" w:type="dxa"/>
            <w:vAlign w:val="bottom"/>
            <w:tcBorders>
              <w:bottom w:val="single" w:sz="8" w:color="EEEEEE"/>
            </w:tcBorders>
          </w:tcPr>
          <w:p>
            <w:pPr>
              <w:spacing w:after="0"/>
              <w:rPr>
                <w:sz w:val="22"/>
                <w:szCs w:val="22"/>
                <w:color w:val="auto"/>
              </w:rPr>
            </w:pPr>
          </w:p>
        </w:tc>
        <w:tc>
          <w:tcPr>
            <w:tcW w:w="440" w:type="dxa"/>
            <w:vAlign w:val="bottom"/>
            <w:tcBorders>
              <w:top w:val="single" w:sz="8" w:color="auto"/>
              <w:bottom w:val="single" w:sz="8" w:color="auto"/>
            </w:tcBorders>
          </w:tcPr>
          <w:p>
            <w:pPr>
              <w:spacing w:after="0"/>
              <w:rPr>
                <w:sz w:val="22"/>
                <w:szCs w:val="22"/>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(2,055,187)</w:t>
            </w:r>
          </w:p>
        </w:tc>
        <w:tc>
          <w:tcPr>
            <w:tcW w:w="100" w:type="dxa"/>
            <w:vAlign w:val="bottom"/>
            <w:tcBorders>
              <w:bottom w:val="single" w:sz="8" w:color="EEEEEE"/>
            </w:tcBorders>
            <w:gridSpan w:val="2"/>
          </w:tcPr>
          <w:p>
            <w:pPr>
              <w:spacing w:after="0"/>
              <w:rPr>
                <w:sz w:val="22"/>
                <w:szCs w:val="22"/>
                <w:color w:val="auto"/>
              </w:rPr>
            </w:pPr>
          </w:p>
        </w:tc>
        <w:tc>
          <w:tcPr>
            <w:tcW w:w="0" w:type="dxa"/>
            <w:vAlign w:val="bottom"/>
          </w:tcPr>
          <w:p>
            <w:pPr>
              <w:spacing w:after="0"/>
              <w:rPr>
                <w:sz w:val="1"/>
                <w:szCs w:val="1"/>
                <w:color w:val="auto"/>
              </w:rPr>
            </w:pPr>
          </w:p>
        </w:tc>
      </w:tr>
      <w:tr>
        <w:trPr>
          <w:trHeight w:val="196"/>
        </w:trPr>
        <w:tc>
          <w:tcPr>
            <w:tcW w:w="3020" w:type="dxa"/>
            <w:vAlign w:val="bottom"/>
            <w:shd w:val="clear" w:color="auto" w:fill="EEEEEE"/>
          </w:tcPr>
          <w:p>
            <w:pPr>
              <w:spacing w:after="0"/>
              <w:rPr>
                <w:sz w:val="17"/>
                <w:szCs w:val="17"/>
                <w:color w:val="auto"/>
              </w:rPr>
            </w:pPr>
          </w:p>
        </w:tc>
        <w:tc>
          <w:tcPr>
            <w:tcW w:w="1720" w:type="dxa"/>
            <w:vAlign w:val="bottom"/>
            <w:shd w:val="clear" w:color="auto" w:fill="EEEEEE"/>
          </w:tcPr>
          <w:p>
            <w:pPr>
              <w:spacing w:after="0"/>
              <w:rPr>
                <w:sz w:val="17"/>
                <w:szCs w:val="17"/>
                <w:color w:val="auto"/>
              </w:rPr>
            </w:pPr>
          </w:p>
        </w:tc>
        <w:tc>
          <w:tcPr>
            <w:tcW w:w="136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9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3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b w:val="1"/>
                <w:bCs w:val="1"/>
                <w:color w:val="auto"/>
              </w:rPr>
              <w:t>Comprehensive (loss) income</w:t>
            </w: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Net loss</w:t>
            </w:r>
          </w:p>
        </w:tc>
        <w:tc>
          <w:tcPr>
            <w:tcW w:w="1700" w:type="dxa"/>
            <w:vAlign w:val="bottom"/>
            <w:gridSpan w:val="2"/>
            <w:shd w:val="clear" w:color="auto" w:fill="EEEEEE"/>
          </w:tcPr>
          <w:p>
            <w:pPr>
              <w:jc w:val="right"/>
              <w:ind w:right="280"/>
              <w:spacing w:after="0"/>
              <w:rPr>
                <w:sz w:val="20"/>
                <w:szCs w:val="20"/>
                <w:color w:val="auto"/>
              </w:rPr>
            </w:pPr>
            <w:r>
              <w:rPr>
                <w:rFonts w:ascii="Arial" w:cs="Arial" w:eastAsia="Arial" w:hAnsi="Arial"/>
                <w:sz w:val="18"/>
                <w:szCs w:val="18"/>
                <w:color w:val="auto"/>
              </w:rPr>
              <w:t>(272,778)</w:t>
            </w:r>
          </w:p>
        </w:tc>
        <w:tc>
          <w:tcPr>
            <w:tcW w:w="440" w:type="dxa"/>
            <w:vAlign w:val="bottom"/>
            <w:shd w:val="clear" w:color="auto" w:fill="EEEEEE"/>
          </w:tcPr>
          <w:p>
            <w:pPr>
              <w:spacing w:after="0"/>
              <w:rPr>
                <w:sz w:val="18"/>
                <w:szCs w:val="18"/>
                <w:color w:val="auto"/>
              </w:rPr>
            </w:pPr>
          </w:p>
        </w:tc>
        <w:tc>
          <w:tcPr>
            <w:tcW w:w="12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(860,723)</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(1,607,279)</w:t>
            </w:r>
          </w:p>
        </w:tc>
        <w:tc>
          <w:tcPr>
            <w:tcW w:w="440" w:type="dxa"/>
            <w:vAlign w:val="bottom"/>
            <w:shd w:val="clear" w:color="auto" w:fill="EEEEEE"/>
          </w:tcPr>
          <w:p>
            <w:pPr>
              <w:spacing w:after="0"/>
              <w:rPr>
                <w:sz w:val="18"/>
                <w:szCs w:val="18"/>
                <w:color w:val="auto"/>
              </w:rPr>
            </w:pPr>
          </w:p>
        </w:tc>
        <w:tc>
          <w:tcPr>
            <w:tcW w:w="10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(2,050,420)</w:t>
            </w:r>
          </w:p>
        </w:tc>
        <w:tc>
          <w:tcPr>
            <w:tcW w:w="0" w:type="dxa"/>
            <w:vAlign w:val="bottom"/>
          </w:tcPr>
          <w:p>
            <w:pPr>
              <w:spacing w:after="0"/>
              <w:rPr>
                <w:sz w:val="1"/>
                <w:szCs w:val="1"/>
                <w:color w:val="auto"/>
              </w:rPr>
            </w:pPr>
          </w:p>
        </w:tc>
      </w:tr>
      <w:tr>
        <w:trPr>
          <w:trHeight w:val="230"/>
        </w:trPr>
        <w:tc>
          <w:tcPr>
            <w:tcW w:w="4740" w:type="dxa"/>
            <w:vAlign w:val="bottom"/>
            <w:gridSpan w:val="2"/>
          </w:tcPr>
          <w:p>
            <w:pPr>
              <w:spacing w:after="0"/>
              <w:rPr>
                <w:sz w:val="20"/>
                <w:szCs w:val="20"/>
                <w:color w:val="auto"/>
              </w:rPr>
            </w:pPr>
            <w:r>
              <w:rPr>
                <w:rFonts w:ascii="Arial" w:cs="Arial" w:eastAsia="Arial" w:hAnsi="Arial"/>
                <w:sz w:val="18"/>
                <w:szCs w:val="18"/>
                <w:color w:val="auto"/>
              </w:rPr>
              <w:t>Foreign currency translation gain (loss)</w:t>
            </w:r>
          </w:p>
        </w:tc>
        <w:tc>
          <w:tcPr>
            <w:tcW w:w="1700" w:type="dxa"/>
            <w:vAlign w:val="bottom"/>
            <w:gridSpan w:val="2"/>
          </w:tcPr>
          <w:p>
            <w:pPr>
              <w:jc w:val="right"/>
              <w:ind w:right="340"/>
              <w:spacing w:after="0"/>
              <w:rPr>
                <w:sz w:val="20"/>
                <w:szCs w:val="20"/>
                <w:color w:val="auto"/>
              </w:rPr>
            </w:pPr>
            <w:r>
              <w:rPr>
                <w:rFonts w:ascii="Arial" w:cs="Arial" w:eastAsia="Arial" w:hAnsi="Arial"/>
                <w:sz w:val="18"/>
                <w:szCs w:val="18"/>
                <w:color w:val="auto"/>
              </w:rPr>
              <w:t>42,482</w:t>
            </w:r>
          </w:p>
        </w:tc>
        <w:tc>
          <w:tcPr>
            <w:tcW w:w="440" w:type="dxa"/>
            <w:vAlign w:val="bottom"/>
          </w:tcPr>
          <w:p>
            <w:pPr>
              <w:spacing w:after="0"/>
              <w:rPr>
                <w:sz w:val="19"/>
                <w:szCs w:val="19"/>
                <w:color w:val="auto"/>
              </w:rPr>
            </w:pP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(6,343)</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62,076</w:t>
            </w:r>
          </w:p>
        </w:tc>
        <w:tc>
          <w:tcPr>
            <w:tcW w:w="440" w:type="dxa"/>
            <w:vAlign w:val="bottom"/>
          </w:tcPr>
          <w:p>
            <w:pPr>
              <w:spacing w:after="0"/>
              <w:rPr>
                <w:sz w:val="19"/>
                <w:szCs w:val="19"/>
                <w:color w:val="auto"/>
              </w:rPr>
            </w:pPr>
          </w:p>
        </w:tc>
        <w:tc>
          <w:tcPr>
            <w:tcW w:w="1000" w:type="dxa"/>
            <w:vAlign w:val="bottom"/>
            <w:gridSpan w:val="3"/>
          </w:tcPr>
          <w:p>
            <w:pPr>
              <w:jc w:val="right"/>
              <w:ind w:right="40"/>
              <w:spacing w:after="0"/>
              <w:rPr>
                <w:sz w:val="20"/>
                <w:szCs w:val="20"/>
                <w:color w:val="auto"/>
              </w:rPr>
            </w:pPr>
            <w:r>
              <w:rPr>
                <w:rFonts w:ascii="Arial" w:cs="Arial" w:eastAsia="Arial" w:hAnsi="Arial"/>
                <w:sz w:val="18"/>
                <w:szCs w:val="18"/>
                <w:color w:val="auto"/>
              </w:rPr>
              <w:t>(25,569)</w:t>
            </w:r>
          </w:p>
        </w:tc>
        <w:tc>
          <w:tcPr>
            <w:tcW w:w="0" w:type="dxa"/>
            <w:vAlign w:val="bottom"/>
          </w:tcPr>
          <w:p>
            <w:pPr>
              <w:spacing w:after="0"/>
              <w:rPr>
                <w:sz w:val="1"/>
                <w:szCs w:val="1"/>
                <w:color w:val="auto"/>
              </w:rPr>
            </w:pPr>
          </w:p>
        </w:tc>
      </w:tr>
      <w:tr>
        <w:trPr>
          <w:trHeight w:val="210"/>
        </w:trPr>
        <w:tc>
          <w:tcPr>
            <w:tcW w:w="4740" w:type="dxa"/>
            <w:vAlign w:val="bottom"/>
            <w:tcBorders>
              <w:top w:val="single" w:sz="8" w:color="EEEEEE"/>
            </w:tcBorders>
            <w:gridSpan w:val="2"/>
            <w:shd w:val="clear" w:color="auto" w:fill="EEEEEE"/>
          </w:tcPr>
          <w:p>
            <w:pPr>
              <w:spacing w:after="0"/>
              <w:rPr>
                <w:sz w:val="20"/>
                <w:szCs w:val="20"/>
                <w:color w:val="auto"/>
              </w:rPr>
            </w:pPr>
            <w:r>
              <w:rPr>
                <w:rFonts w:ascii="Arial" w:cs="Arial" w:eastAsia="Arial" w:hAnsi="Arial"/>
                <w:sz w:val="18"/>
                <w:szCs w:val="18"/>
                <w:b w:val="1"/>
                <w:bCs w:val="1"/>
                <w:color w:val="auto"/>
              </w:rPr>
              <w:t>Total comprehensive loss</w:t>
            </w:r>
          </w:p>
        </w:tc>
        <w:tc>
          <w:tcPr>
            <w:tcW w:w="13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(230,296)</w:t>
            </w:r>
          </w:p>
        </w:tc>
        <w:tc>
          <w:tcPr>
            <w:tcW w:w="340" w:type="dxa"/>
            <w:vAlign w:val="bottom"/>
            <w:tcBorders>
              <w:top w:val="single" w:sz="8" w:color="EEEEEE"/>
            </w:tcBorders>
            <w:shd w:val="clear" w:color="auto" w:fill="EEEEEE"/>
          </w:tcPr>
          <w:p>
            <w:pPr>
              <w:spacing w:after="0"/>
              <w:rPr>
                <w:sz w:val="18"/>
                <w:szCs w:val="18"/>
                <w:color w:val="auto"/>
              </w:rPr>
            </w:pPr>
          </w:p>
        </w:tc>
        <w:tc>
          <w:tcPr>
            <w:tcW w:w="440" w:type="dxa"/>
            <w:vAlign w:val="bottom"/>
            <w:tcBorders>
              <w:top w:val="single" w:sz="8" w:color="auto"/>
            </w:tcBorders>
            <w:shd w:val="clear" w:color="auto" w:fill="EEEEEE"/>
          </w:tcPr>
          <w:p>
            <w:pPr>
              <w:spacing w:after="0"/>
              <w:rPr>
                <w:sz w:val="18"/>
                <w:szCs w:val="18"/>
                <w:color w:val="auto"/>
              </w:rPr>
            </w:pPr>
          </w:p>
        </w:tc>
        <w:tc>
          <w:tcPr>
            <w:tcW w:w="94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(867,066)</w:t>
            </w:r>
          </w:p>
        </w:tc>
        <w:tc>
          <w:tcPr>
            <w:tcW w:w="320" w:type="dxa"/>
            <w:vAlign w:val="bottom"/>
            <w:tcBorders>
              <w:top w:val="single" w:sz="8" w:color="EEEEEE"/>
            </w:tcBorders>
            <w:shd w:val="clear" w:color="auto" w:fill="EEEEEE"/>
          </w:tcPr>
          <w:p>
            <w:pPr>
              <w:spacing w:after="0"/>
              <w:rPr>
                <w:sz w:val="18"/>
                <w:szCs w:val="18"/>
                <w:color w:val="auto"/>
              </w:rPr>
            </w:pPr>
          </w:p>
        </w:tc>
        <w:tc>
          <w:tcPr>
            <w:tcW w:w="134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(1,545,203)</w:t>
            </w:r>
          </w:p>
        </w:tc>
        <w:tc>
          <w:tcPr>
            <w:tcW w:w="320" w:type="dxa"/>
            <w:vAlign w:val="bottom"/>
            <w:tcBorders>
              <w:top w:val="single" w:sz="8" w:color="EEEEEE"/>
            </w:tcBorders>
            <w:shd w:val="clear" w:color="auto" w:fill="EEEEEE"/>
          </w:tcPr>
          <w:p>
            <w:pPr>
              <w:spacing w:after="0"/>
              <w:rPr>
                <w:sz w:val="18"/>
                <w:szCs w:val="18"/>
                <w:color w:val="auto"/>
              </w:rPr>
            </w:pPr>
          </w:p>
        </w:tc>
        <w:tc>
          <w:tcPr>
            <w:tcW w:w="440" w:type="dxa"/>
            <w:vAlign w:val="bottom"/>
            <w:tcBorders>
              <w:top w:val="single" w:sz="8" w:color="auto"/>
            </w:tcBorders>
            <w:shd w:val="clear" w:color="auto" w:fill="EEEEEE"/>
          </w:tcPr>
          <w:p>
            <w:pPr>
              <w:spacing w:after="0"/>
              <w:rPr>
                <w:sz w:val="18"/>
                <w:szCs w:val="18"/>
                <w:color w:val="auto"/>
              </w:rPr>
            </w:pPr>
          </w:p>
        </w:tc>
        <w:tc>
          <w:tcPr>
            <w:tcW w:w="9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w w:val="95"/>
              </w:rPr>
              <w:t>(2,075,989)</w:t>
            </w:r>
          </w:p>
        </w:tc>
        <w:tc>
          <w:tcPr>
            <w:tcW w:w="100" w:type="dxa"/>
            <w:vAlign w:val="bottom"/>
            <w:tcBorders>
              <w:top w:val="single" w:sz="8" w:color="EEEEEE"/>
            </w:tcBorders>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tcPr>
          <w:p>
            <w:pPr>
              <w:spacing w:after="0"/>
              <w:rPr>
                <w:sz w:val="18"/>
                <w:szCs w:val="18"/>
                <w:color w:val="auto"/>
              </w:rPr>
            </w:pPr>
          </w:p>
        </w:tc>
        <w:tc>
          <w:tcPr>
            <w:tcW w:w="17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740" w:type="dxa"/>
            <w:vAlign w:val="bottom"/>
            <w:gridSpan w:val="2"/>
            <w:shd w:val="clear" w:color="auto" w:fill="EEEEEE"/>
          </w:tcPr>
          <w:p>
            <w:pPr>
              <w:spacing w:after="0" w:line="201" w:lineRule="exact"/>
              <w:rPr>
                <w:sz w:val="20"/>
                <w:szCs w:val="20"/>
                <w:color w:val="auto"/>
              </w:rPr>
            </w:pPr>
            <w:r>
              <w:rPr>
                <w:rFonts w:ascii="Arial" w:cs="Arial" w:eastAsia="Arial" w:hAnsi="Arial"/>
                <w:sz w:val="18"/>
                <w:szCs w:val="18"/>
                <w:color w:val="auto"/>
              </w:rPr>
              <w:t>Less: comprehensive loss attributable to non-controlling</w:t>
            </w:r>
          </w:p>
        </w:tc>
        <w:tc>
          <w:tcPr>
            <w:tcW w:w="136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9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3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44"/>
        </w:trPr>
        <w:tc>
          <w:tcPr>
            <w:tcW w:w="474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interest</w:t>
            </w:r>
          </w:p>
        </w:tc>
        <w:tc>
          <w:tcPr>
            <w:tcW w:w="1700" w:type="dxa"/>
            <w:vAlign w:val="bottom"/>
            <w:gridSpan w:val="2"/>
            <w:shd w:val="clear" w:color="auto" w:fill="EEEEEE"/>
          </w:tcPr>
          <w:p>
            <w:pPr>
              <w:jc w:val="right"/>
              <w:ind w:right="340"/>
              <w:spacing w:after="0"/>
              <w:rPr>
                <w:sz w:val="20"/>
                <w:szCs w:val="20"/>
                <w:color w:val="auto"/>
              </w:rPr>
            </w:pPr>
            <w:r>
              <w:rPr>
                <w:rFonts w:ascii="Arial" w:cs="Arial" w:eastAsia="Arial" w:hAnsi="Arial"/>
                <w:sz w:val="18"/>
                <w:szCs w:val="18"/>
                <w:color w:val="auto"/>
              </w:rPr>
              <w:t>11,037</w:t>
            </w:r>
          </w:p>
        </w:tc>
        <w:tc>
          <w:tcPr>
            <w:tcW w:w="440" w:type="dxa"/>
            <w:vAlign w:val="bottom"/>
            <w:shd w:val="clear" w:color="auto" w:fill="EEEEEE"/>
          </w:tcPr>
          <w:p>
            <w:pPr>
              <w:spacing w:after="0"/>
              <w:rPr>
                <w:sz w:val="21"/>
                <w:szCs w:val="21"/>
                <w:color w:val="auto"/>
              </w:rPr>
            </w:pPr>
          </w:p>
        </w:tc>
        <w:tc>
          <w:tcPr>
            <w:tcW w:w="12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4,767</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(12,376)</w:t>
            </w:r>
          </w:p>
        </w:tc>
        <w:tc>
          <w:tcPr>
            <w:tcW w:w="440" w:type="dxa"/>
            <w:vAlign w:val="bottom"/>
            <w:shd w:val="clear" w:color="auto" w:fill="EEEEEE"/>
          </w:tcPr>
          <w:p>
            <w:pPr>
              <w:spacing w:after="0"/>
              <w:rPr>
                <w:sz w:val="21"/>
                <w:szCs w:val="21"/>
                <w:color w:val="auto"/>
              </w:rPr>
            </w:pPr>
          </w:p>
        </w:tc>
        <w:tc>
          <w:tcPr>
            <w:tcW w:w="9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4,767</w:t>
            </w:r>
          </w:p>
        </w:tc>
        <w:tc>
          <w:tcPr>
            <w:tcW w:w="80" w:type="dxa"/>
            <w:vAlign w:val="bottom"/>
            <w:shd w:val="clear" w:color="auto" w:fill="EEEEEE"/>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474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b w:val="1"/>
                <w:bCs w:val="1"/>
                <w:color w:val="auto"/>
              </w:rPr>
              <w:t>Comprehensive loss attributable to the Company</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(241,333)</w:t>
            </w:r>
          </w:p>
        </w:tc>
        <w:tc>
          <w:tcPr>
            <w:tcW w:w="340" w:type="dxa"/>
            <w:vAlign w:val="bottom"/>
            <w:tcBorders>
              <w:bottom w:val="single" w:sz="8" w:color="EEEEEE"/>
            </w:tcBorders>
          </w:tcPr>
          <w:p>
            <w:pPr>
              <w:spacing w:after="0"/>
              <w:rPr>
                <w:sz w:val="22"/>
                <w:szCs w:val="22"/>
                <w:color w:val="auto"/>
              </w:rPr>
            </w:pPr>
          </w:p>
        </w:tc>
        <w:tc>
          <w:tcPr>
            <w:tcW w:w="440" w:type="dxa"/>
            <w:vAlign w:val="bottom"/>
            <w:tcBorders>
              <w:top w:val="single" w:sz="8" w:color="auto"/>
              <w:bottom w:val="single" w:sz="8" w:color="auto"/>
            </w:tcBorders>
          </w:tcPr>
          <w:p>
            <w:pPr>
              <w:spacing w:after="0"/>
              <w:rPr>
                <w:sz w:val="22"/>
                <w:szCs w:val="22"/>
                <w:color w:val="auto"/>
              </w:rPr>
            </w:pPr>
          </w:p>
        </w:tc>
        <w:tc>
          <w:tcPr>
            <w:tcW w:w="9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(871,833)</w:t>
            </w:r>
          </w:p>
        </w:tc>
        <w:tc>
          <w:tcPr>
            <w:tcW w:w="320" w:type="dxa"/>
            <w:vAlign w:val="bottom"/>
            <w:tcBorders>
              <w:bottom w:val="single" w:sz="8" w:color="EEEEEE"/>
            </w:tcBorders>
          </w:tcPr>
          <w:p>
            <w:pPr>
              <w:spacing w:after="0"/>
              <w:rPr>
                <w:sz w:val="22"/>
                <w:szCs w:val="22"/>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(1,532,827)</w:t>
            </w:r>
          </w:p>
        </w:tc>
        <w:tc>
          <w:tcPr>
            <w:tcW w:w="320" w:type="dxa"/>
            <w:vAlign w:val="bottom"/>
            <w:tcBorders>
              <w:bottom w:val="single" w:sz="8" w:color="EEEEEE"/>
            </w:tcBorders>
          </w:tcPr>
          <w:p>
            <w:pPr>
              <w:spacing w:after="0"/>
              <w:rPr>
                <w:sz w:val="22"/>
                <w:szCs w:val="22"/>
                <w:color w:val="auto"/>
              </w:rPr>
            </w:pPr>
          </w:p>
        </w:tc>
        <w:tc>
          <w:tcPr>
            <w:tcW w:w="440" w:type="dxa"/>
            <w:vAlign w:val="bottom"/>
            <w:tcBorders>
              <w:top w:val="single" w:sz="8" w:color="auto"/>
              <w:bottom w:val="single" w:sz="8" w:color="auto"/>
            </w:tcBorders>
          </w:tcPr>
          <w:p>
            <w:pPr>
              <w:spacing w:after="0"/>
              <w:rPr>
                <w:sz w:val="22"/>
                <w:szCs w:val="22"/>
                <w:color w:val="auto"/>
              </w:rPr>
            </w:pPr>
          </w:p>
        </w:tc>
        <w:tc>
          <w:tcPr>
            <w:tcW w:w="9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w w:val="95"/>
              </w:rPr>
              <w:t>(2,080,756)</w:t>
            </w:r>
          </w:p>
        </w:tc>
        <w:tc>
          <w:tcPr>
            <w:tcW w:w="100" w:type="dxa"/>
            <w:vAlign w:val="bottom"/>
            <w:tcBorders>
              <w:bottom w:val="single" w:sz="8" w:color="EEEEEE"/>
            </w:tcBorders>
            <w:gridSpan w:val="2"/>
          </w:tcPr>
          <w:p>
            <w:pPr>
              <w:spacing w:after="0"/>
              <w:rPr>
                <w:sz w:val="22"/>
                <w:szCs w:val="22"/>
                <w:color w:val="auto"/>
              </w:rPr>
            </w:pPr>
          </w:p>
        </w:tc>
        <w:tc>
          <w:tcPr>
            <w:tcW w:w="0" w:type="dxa"/>
            <w:vAlign w:val="bottom"/>
          </w:tcPr>
          <w:p>
            <w:pPr>
              <w:spacing w:after="0"/>
              <w:rPr>
                <w:sz w:val="1"/>
                <w:szCs w:val="1"/>
                <w:color w:val="auto"/>
              </w:rPr>
            </w:pPr>
          </w:p>
        </w:tc>
      </w:tr>
      <w:tr>
        <w:trPr>
          <w:trHeight w:val="197"/>
        </w:trPr>
        <w:tc>
          <w:tcPr>
            <w:tcW w:w="3020" w:type="dxa"/>
            <w:vAlign w:val="bottom"/>
            <w:shd w:val="clear" w:color="auto" w:fill="EEEEEE"/>
          </w:tcPr>
          <w:p>
            <w:pPr>
              <w:spacing w:after="0"/>
              <w:rPr>
                <w:sz w:val="17"/>
                <w:szCs w:val="17"/>
                <w:color w:val="auto"/>
              </w:rPr>
            </w:pPr>
          </w:p>
        </w:tc>
        <w:tc>
          <w:tcPr>
            <w:tcW w:w="1720" w:type="dxa"/>
            <w:vAlign w:val="bottom"/>
            <w:shd w:val="clear" w:color="auto" w:fill="EEEEEE"/>
          </w:tcPr>
          <w:p>
            <w:pPr>
              <w:spacing w:after="0"/>
              <w:rPr>
                <w:sz w:val="17"/>
                <w:szCs w:val="17"/>
                <w:color w:val="auto"/>
              </w:rPr>
            </w:pPr>
          </w:p>
        </w:tc>
        <w:tc>
          <w:tcPr>
            <w:tcW w:w="136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9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3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4740" w:type="dxa"/>
            <w:vAlign w:val="bottom"/>
            <w:gridSpan w:val="2"/>
          </w:tcPr>
          <w:p>
            <w:pPr>
              <w:spacing w:after="0"/>
              <w:rPr>
                <w:sz w:val="20"/>
                <w:szCs w:val="20"/>
                <w:color w:val="auto"/>
              </w:rPr>
            </w:pPr>
            <w:r>
              <w:rPr>
                <w:rFonts w:ascii="Arial" w:cs="Arial" w:eastAsia="Arial" w:hAnsi="Arial"/>
                <w:sz w:val="18"/>
                <w:szCs w:val="18"/>
                <w:b w:val="1"/>
                <w:bCs w:val="1"/>
                <w:color w:val="auto"/>
              </w:rPr>
              <w:t>Loss per share</w:t>
            </w:r>
          </w:p>
        </w:tc>
        <w:tc>
          <w:tcPr>
            <w:tcW w:w="136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2"/>
        </w:trPr>
        <w:tc>
          <w:tcPr>
            <w:tcW w:w="4740" w:type="dxa"/>
            <w:vAlign w:val="bottom"/>
            <w:gridSpan w:val="2"/>
            <w:shd w:val="clear" w:color="auto" w:fill="EEEEEE"/>
          </w:tcPr>
          <w:p>
            <w:pPr>
              <w:spacing w:after="0" w:line="201" w:lineRule="exact"/>
              <w:rPr>
                <w:sz w:val="20"/>
                <w:szCs w:val="20"/>
                <w:color w:val="auto"/>
              </w:rPr>
            </w:pPr>
            <w:r>
              <w:rPr>
                <w:rFonts w:ascii="Arial" w:cs="Arial" w:eastAsia="Arial" w:hAnsi="Arial"/>
                <w:sz w:val="18"/>
                <w:szCs w:val="18"/>
                <w:color w:val="auto"/>
              </w:rPr>
              <w:t>Net loss per share from continuing operations - basic and</w:t>
            </w:r>
          </w:p>
        </w:tc>
        <w:tc>
          <w:tcPr>
            <w:tcW w:w="136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9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3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90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30"/>
        </w:trPr>
        <w:tc>
          <w:tcPr>
            <w:tcW w:w="474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diluted</w:t>
            </w:r>
          </w:p>
        </w:tc>
        <w:tc>
          <w:tcPr>
            <w:tcW w:w="1700" w:type="dxa"/>
            <w:vAlign w:val="bottom"/>
            <w:gridSpan w:val="2"/>
            <w:shd w:val="clear" w:color="auto" w:fill="EEEEEE"/>
          </w:tcPr>
          <w:p>
            <w:pPr>
              <w:jc w:val="right"/>
              <w:ind w:right="280"/>
              <w:spacing w:after="0"/>
              <w:rPr>
                <w:sz w:val="20"/>
                <w:szCs w:val="20"/>
                <w:color w:val="auto"/>
              </w:rPr>
            </w:pPr>
            <w:r>
              <w:rPr>
                <w:rFonts w:ascii="Arial" w:cs="Arial" w:eastAsia="Arial" w:hAnsi="Arial"/>
                <w:sz w:val="18"/>
                <w:szCs w:val="18"/>
                <w:color w:val="auto"/>
              </w:rPr>
              <w:t>(0.0264)</w:t>
            </w:r>
          </w:p>
        </w:tc>
        <w:tc>
          <w:tcPr>
            <w:tcW w:w="440" w:type="dxa"/>
            <w:vAlign w:val="bottom"/>
            <w:shd w:val="clear" w:color="auto" w:fill="EEEEEE"/>
          </w:tcPr>
          <w:p>
            <w:pPr>
              <w:spacing w:after="0"/>
              <w:rPr>
                <w:sz w:val="20"/>
                <w:szCs w:val="20"/>
                <w:color w:val="auto"/>
              </w:rPr>
            </w:pPr>
          </w:p>
        </w:tc>
        <w:tc>
          <w:tcPr>
            <w:tcW w:w="12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(0.0996)</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(0.1611)</w:t>
            </w:r>
          </w:p>
        </w:tc>
        <w:tc>
          <w:tcPr>
            <w:tcW w:w="440" w:type="dxa"/>
            <w:vAlign w:val="bottom"/>
            <w:shd w:val="clear" w:color="auto" w:fill="EEEEEE"/>
          </w:tcPr>
          <w:p>
            <w:pPr>
              <w:spacing w:after="0"/>
              <w:rPr>
                <w:sz w:val="20"/>
                <w:szCs w:val="20"/>
                <w:color w:val="auto"/>
              </w:rPr>
            </w:pPr>
          </w:p>
        </w:tc>
        <w:tc>
          <w:tcPr>
            <w:tcW w:w="10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(0.2692)</w:t>
            </w:r>
          </w:p>
        </w:tc>
        <w:tc>
          <w:tcPr>
            <w:tcW w:w="0" w:type="dxa"/>
            <w:vAlign w:val="bottom"/>
          </w:tcPr>
          <w:p>
            <w:pPr>
              <w:spacing w:after="0"/>
              <w:rPr>
                <w:sz w:val="1"/>
                <w:szCs w:val="1"/>
                <w:color w:val="auto"/>
              </w:rPr>
            </w:pPr>
          </w:p>
        </w:tc>
      </w:tr>
      <w:tr>
        <w:trPr>
          <w:trHeight w:val="20"/>
        </w:trPr>
        <w:tc>
          <w:tcPr>
            <w:tcW w:w="4740" w:type="dxa"/>
            <w:vAlign w:val="bottom"/>
            <w:tcBorders>
              <w:top w:val="single" w:sz="8" w:color="EEEEEE"/>
              <w:bottom w:val="single" w:sz="8" w:color="EEEEEE"/>
            </w:tcBorders>
            <w:gridSpan w:val="2"/>
            <w:vMerge w:val="restart"/>
          </w:tcPr>
          <w:p>
            <w:pPr>
              <w:spacing w:after="0" w:line="195" w:lineRule="exact"/>
              <w:rPr>
                <w:sz w:val="20"/>
                <w:szCs w:val="20"/>
                <w:color w:val="auto"/>
              </w:rPr>
            </w:pPr>
            <w:r>
              <w:rPr>
                <w:rFonts w:ascii="Arial" w:cs="Arial" w:eastAsia="Arial" w:hAnsi="Arial"/>
                <w:sz w:val="18"/>
                <w:szCs w:val="18"/>
                <w:color w:val="auto"/>
                <w:w w:val="99"/>
              </w:rPr>
              <w:t>Net (loss) income per share from discontinued operations –</w:t>
            </w:r>
          </w:p>
        </w:tc>
        <w:tc>
          <w:tcPr>
            <w:tcW w:w="1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Borders>
              <w:top w:val="single" w:sz="8" w:color="EEEEEE"/>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EEEEEE"/>
            </w:tcBorders>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Borders>
              <w:top w:val="single" w:sz="8" w:color="EEEEEE"/>
            </w:tcBorders>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55"/>
        </w:trPr>
        <w:tc>
          <w:tcPr>
            <w:tcW w:w="4740" w:type="dxa"/>
            <w:vAlign w:val="bottom"/>
            <w:gridSpan w:val="2"/>
            <w:vMerge w:val="continue"/>
          </w:tcPr>
          <w:p>
            <w:pPr>
              <w:spacing w:after="0"/>
              <w:rPr>
                <w:sz w:val="13"/>
                <w:szCs w:val="13"/>
                <w:color w:val="auto"/>
              </w:rPr>
            </w:pPr>
          </w:p>
        </w:tc>
        <w:tc>
          <w:tcPr>
            <w:tcW w:w="13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9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134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9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70"/>
        </w:trPr>
        <w:tc>
          <w:tcPr>
            <w:tcW w:w="4740" w:type="dxa"/>
            <w:vAlign w:val="bottom"/>
            <w:gridSpan w:val="2"/>
          </w:tcPr>
          <w:p>
            <w:pPr>
              <w:ind w:left="180"/>
              <w:spacing w:after="0"/>
              <w:rPr>
                <w:sz w:val="20"/>
                <w:szCs w:val="20"/>
                <w:color w:val="auto"/>
              </w:rPr>
            </w:pPr>
            <w:r>
              <w:rPr>
                <w:rFonts w:ascii="Arial" w:cs="Arial" w:eastAsia="Arial" w:hAnsi="Arial"/>
                <w:sz w:val="18"/>
                <w:szCs w:val="18"/>
                <w:color w:val="auto"/>
              </w:rPr>
              <w:t>basic and diluted</w:t>
            </w:r>
          </w:p>
        </w:tc>
        <w:tc>
          <w:tcPr>
            <w:tcW w:w="2140" w:type="dxa"/>
            <w:vAlign w:val="bottom"/>
            <w:gridSpan w:val="3"/>
          </w:tcPr>
          <w:p>
            <w:pPr>
              <w:jc w:val="right"/>
              <w:ind w:right="780"/>
              <w:spacing w:after="0"/>
              <w:rPr>
                <w:sz w:val="20"/>
                <w:szCs w:val="20"/>
                <w:color w:val="auto"/>
              </w:rPr>
            </w:pPr>
            <w:r>
              <w:rPr>
                <w:rFonts w:ascii="Arial" w:cs="Arial" w:eastAsia="Arial" w:hAnsi="Arial"/>
                <w:sz w:val="18"/>
                <w:szCs w:val="18"/>
                <w:color w:val="auto"/>
              </w:rPr>
              <w:t>–</w:t>
            </w:r>
          </w:p>
        </w:tc>
        <w:tc>
          <w:tcPr>
            <w:tcW w:w="1260" w:type="dxa"/>
            <w:vAlign w:val="bottom"/>
            <w:gridSpan w:val="2"/>
          </w:tcPr>
          <w:p>
            <w:pPr>
              <w:jc w:val="right"/>
              <w:ind w:right="260"/>
              <w:spacing w:after="0"/>
              <w:rPr>
                <w:sz w:val="20"/>
                <w:szCs w:val="20"/>
                <w:color w:val="auto"/>
              </w:rPr>
            </w:pPr>
            <w:r>
              <w:rPr>
                <w:rFonts w:ascii="Arial" w:cs="Arial" w:eastAsia="Arial" w:hAnsi="Arial"/>
                <w:sz w:val="18"/>
                <w:szCs w:val="18"/>
                <w:color w:val="auto"/>
              </w:rPr>
              <w:t>(0.0075)</w:t>
            </w:r>
          </w:p>
        </w:tc>
        <w:tc>
          <w:tcPr>
            <w:tcW w:w="2100" w:type="dxa"/>
            <w:vAlign w:val="bottom"/>
            <w:gridSpan w:val="3"/>
          </w:tcPr>
          <w:p>
            <w:pPr>
              <w:jc w:val="right"/>
              <w:ind w:right="760"/>
              <w:spacing w:after="0"/>
              <w:rPr>
                <w:sz w:val="20"/>
                <w:szCs w:val="20"/>
                <w:color w:val="auto"/>
              </w:rPr>
            </w:pPr>
            <w:r>
              <w:rPr>
                <w:rFonts w:ascii="Arial" w:cs="Arial" w:eastAsia="Arial" w:hAnsi="Arial"/>
                <w:sz w:val="18"/>
                <w:szCs w:val="18"/>
                <w:color w:val="auto"/>
              </w:rPr>
              <w:t>–</w:t>
            </w:r>
          </w:p>
        </w:tc>
        <w:tc>
          <w:tcPr>
            <w:tcW w:w="1000" w:type="dxa"/>
            <w:vAlign w:val="bottom"/>
            <w:gridSpan w:val="3"/>
          </w:tcPr>
          <w:p>
            <w:pPr>
              <w:jc w:val="right"/>
              <w:ind w:right="40"/>
              <w:spacing w:after="0"/>
              <w:rPr>
                <w:sz w:val="20"/>
                <w:szCs w:val="20"/>
                <w:color w:val="auto"/>
              </w:rPr>
            </w:pPr>
            <w:r>
              <w:rPr>
                <w:rFonts w:ascii="Arial" w:cs="Arial" w:eastAsia="Arial" w:hAnsi="Arial"/>
                <w:sz w:val="18"/>
                <w:szCs w:val="18"/>
                <w:color w:val="auto"/>
              </w:rPr>
              <w:t>(0.0067)</w:t>
            </w:r>
          </w:p>
        </w:tc>
        <w:tc>
          <w:tcPr>
            <w:tcW w:w="0" w:type="dxa"/>
            <w:vAlign w:val="bottom"/>
          </w:tcPr>
          <w:p>
            <w:pPr>
              <w:spacing w:after="0"/>
              <w:rPr>
                <w:sz w:val="1"/>
                <w:szCs w:val="1"/>
                <w:color w:val="auto"/>
              </w:rPr>
            </w:pPr>
          </w:p>
        </w:tc>
      </w:tr>
      <w:tr>
        <w:trPr>
          <w:trHeight w:val="196"/>
        </w:trPr>
        <w:tc>
          <w:tcPr>
            <w:tcW w:w="3020" w:type="dxa"/>
            <w:vAlign w:val="bottom"/>
            <w:tcBorders>
              <w:top w:val="single" w:sz="8" w:color="EEEEEE"/>
            </w:tcBorders>
            <w:shd w:val="clear" w:color="auto" w:fill="EEEEEE"/>
          </w:tcPr>
          <w:p>
            <w:pPr>
              <w:spacing w:after="0"/>
              <w:rPr>
                <w:sz w:val="17"/>
                <w:szCs w:val="17"/>
                <w:color w:val="auto"/>
              </w:rPr>
            </w:pPr>
          </w:p>
        </w:tc>
        <w:tc>
          <w:tcPr>
            <w:tcW w:w="1720" w:type="dxa"/>
            <w:vAlign w:val="bottom"/>
            <w:tcBorders>
              <w:top w:val="single" w:sz="8" w:color="EEEEEE"/>
            </w:tcBorders>
            <w:shd w:val="clear" w:color="auto" w:fill="EEEEEE"/>
          </w:tcPr>
          <w:p>
            <w:pPr>
              <w:spacing w:after="0"/>
              <w:rPr>
                <w:sz w:val="17"/>
                <w:szCs w:val="17"/>
                <w:color w:val="auto"/>
              </w:rPr>
            </w:pPr>
          </w:p>
        </w:tc>
        <w:tc>
          <w:tcPr>
            <w:tcW w:w="1360" w:type="dxa"/>
            <w:vAlign w:val="bottom"/>
            <w:tcBorders>
              <w:top w:val="single" w:sz="8" w:color="auto"/>
            </w:tcBorders>
            <w:shd w:val="clear" w:color="auto" w:fill="EEEEEE"/>
          </w:tcPr>
          <w:p>
            <w:pPr>
              <w:spacing w:after="0"/>
              <w:rPr>
                <w:sz w:val="17"/>
                <w:szCs w:val="17"/>
                <w:color w:val="auto"/>
              </w:rPr>
            </w:pPr>
          </w:p>
        </w:tc>
        <w:tc>
          <w:tcPr>
            <w:tcW w:w="340" w:type="dxa"/>
            <w:vAlign w:val="bottom"/>
            <w:tcBorders>
              <w:top w:val="single" w:sz="8" w:color="EEEEEE"/>
            </w:tcBorders>
            <w:shd w:val="clear" w:color="auto" w:fill="EEEEEE"/>
          </w:tcPr>
          <w:p>
            <w:pPr>
              <w:spacing w:after="0"/>
              <w:rPr>
                <w:sz w:val="17"/>
                <w:szCs w:val="17"/>
                <w:color w:val="auto"/>
              </w:rPr>
            </w:pPr>
          </w:p>
        </w:tc>
        <w:tc>
          <w:tcPr>
            <w:tcW w:w="440" w:type="dxa"/>
            <w:vAlign w:val="bottom"/>
            <w:tcBorders>
              <w:top w:val="single" w:sz="8" w:color="auto"/>
            </w:tcBorders>
            <w:shd w:val="clear" w:color="auto" w:fill="EEEEEE"/>
          </w:tcPr>
          <w:p>
            <w:pPr>
              <w:spacing w:after="0"/>
              <w:rPr>
                <w:sz w:val="17"/>
                <w:szCs w:val="17"/>
                <w:color w:val="auto"/>
              </w:rPr>
            </w:pPr>
          </w:p>
        </w:tc>
        <w:tc>
          <w:tcPr>
            <w:tcW w:w="940" w:type="dxa"/>
            <w:vAlign w:val="bottom"/>
            <w:tcBorders>
              <w:top w:val="single" w:sz="8" w:color="auto"/>
            </w:tcBorders>
            <w:shd w:val="clear" w:color="auto" w:fill="EEEEEE"/>
          </w:tcPr>
          <w:p>
            <w:pPr>
              <w:spacing w:after="0"/>
              <w:rPr>
                <w:sz w:val="17"/>
                <w:szCs w:val="17"/>
                <w:color w:val="auto"/>
              </w:rPr>
            </w:pPr>
          </w:p>
        </w:tc>
        <w:tc>
          <w:tcPr>
            <w:tcW w:w="320" w:type="dxa"/>
            <w:vAlign w:val="bottom"/>
            <w:tcBorders>
              <w:top w:val="single" w:sz="8" w:color="EEEEEE"/>
            </w:tcBorders>
            <w:shd w:val="clear" w:color="auto" w:fill="EEEEEE"/>
          </w:tcPr>
          <w:p>
            <w:pPr>
              <w:spacing w:after="0"/>
              <w:rPr>
                <w:sz w:val="17"/>
                <w:szCs w:val="17"/>
                <w:color w:val="auto"/>
              </w:rPr>
            </w:pPr>
          </w:p>
        </w:tc>
        <w:tc>
          <w:tcPr>
            <w:tcW w:w="1340" w:type="dxa"/>
            <w:vAlign w:val="bottom"/>
            <w:tcBorders>
              <w:top w:val="single" w:sz="8" w:color="auto"/>
            </w:tcBorders>
            <w:shd w:val="clear" w:color="auto" w:fill="EEEEEE"/>
          </w:tcPr>
          <w:p>
            <w:pPr>
              <w:spacing w:after="0"/>
              <w:rPr>
                <w:sz w:val="17"/>
                <w:szCs w:val="17"/>
                <w:color w:val="auto"/>
              </w:rPr>
            </w:pPr>
          </w:p>
        </w:tc>
        <w:tc>
          <w:tcPr>
            <w:tcW w:w="320" w:type="dxa"/>
            <w:vAlign w:val="bottom"/>
            <w:tcBorders>
              <w:top w:val="single" w:sz="8" w:color="EEEEEE"/>
            </w:tcBorders>
            <w:shd w:val="clear" w:color="auto" w:fill="EEEEEE"/>
          </w:tcPr>
          <w:p>
            <w:pPr>
              <w:spacing w:after="0"/>
              <w:rPr>
                <w:sz w:val="17"/>
                <w:szCs w:val="17"/>
                <w:color w:val="auto"/>
              </w:rPr>
            </w:pPr>
          </w:p>
        </w:tc>
        <w:tc>
          <w:tcPr>
            <w:tcW w:w="440" w:type="dxa"/>
            <w:vAlign w:val="bottom"/>
            <w:tcBorders>
              <w:top w:val="single" w:sz="8" w:color="auto"/>
            </w:tcBorders>
            <w:shd w:val="clear" w:color="auto" w:fill="EEEEEE"/>
          </w:tcPr>
          <w:p>
            <w:pPr>
              <w:spacing w:after="0"/>
              <w:rPr>
                <w:sz w:val="17"/>
                <w:szCs w:val="17"/>
                <w:color w:val="auto"/>
              </w:rPr>
            </w:pPr>
          </w:p>
        </w:tc>
        <w:tc>
          <w:tcPr>
            <w:tcW w:w="900" w:type="dxa"/>
            <w:vAlign w:val="bottom"/>
            <w:tcBorders>
              <w:top w:val="single" w:sz="8" w:color="auto"/>
            </w:tcBorders>
            <w:shd w:val="clear" w:color="auto" w:fill="EEEEEE"/>
          </w:tcPr>
          <w:p>
            <w:pPr>
              <w:spacing w:after="0"/>
              <w:rPr>
                <w:sz w:val="17"/>
                <w:szCs w:val="17"/>
                <w:color w:val="auto"/>
              </w:rPr>
            </w:pPr>
          </w:p>
        </w:tc>
        <w:tc>
          <w:tcPr>
            <w:tcW w:w="20" w:type="dxa"/>
            <w:vAlign w:val="bottom"/>
            <w:tcBorders>
              <w:top w:val="single" w:sz="8" w:color="EEEEEE"/>
            </w:tcBorders>
            <w:shd w:val="clear" w:color="auto" w:fill="EEEEEE"/>
          </w:tcPr>
          <w:p>
            <w:pPr>
              <w:spacing w:after="0"/>
              <w:rPr>
                <w:sz w:val="17"/>
                <w:szCs w:val="17"/>
                <w:color w:val="auto"/>
              </w:rPr>
            </w:pPr>
          </w:p>
        </w:tc>
        <w:tc>
          <w:tcPr>
            <w:tcW w:w="80" w:type="dxa"/>
            <w:vAlign w:val="bottom"/>
            <w:tcBorders>
              <w:top w:val="single" w:sz="8" w:color="EEEEEE"/>
            </w:tcBorders>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4740" w:type="dxa"/>
            <w:vAlign w:val="bottom"/>
            <w:gridSpan w:val="2"/>
          </w:tcPr>
          <w:p>
            <w:pPr>
              <w:spacing w:after="0" w:line="198" w:lineRule="exact"/>
              <w:rPr>
                <w:sz w:val="20"/>
                <w:szCs w:val="20"/>
                <w:color w:val="auto"/>
              </w:rPr>
            </w:pPr>
            <w:r>
              <w:rPr>
                <w:rFonts w:ascii="Arial" w:cs="Arial" w:eastAsia="Arial" w:hAnsi="Arial"/>
                <w:sz w:val="18"/>
                <w:szCs w:val="18"/>
                <w:b w:val="1"/>
                <w:bCs w:val="1"/>
                <w:color w:val="auto"/>
                <w:w w:val="94"/>
              </w:rPr>
              <w:t>Weighted average number of common shares outstanding</w:t>
            </w:r>
          </w:p>
        </w:tc>
        <w:tc>
          <w:tcPr>
            <w:tcW w:w="136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9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34"/>
        </w:trPr>
        <w:tc>
          <w:tcPr>
            <w:tcW w:w="4740" w:type="dxa"/>
            <w:vAlign w:val="bottom"/>
            <w:gridSpan w:val="2"/>
          </w:tcPr>
          <w:p>
            <w:pPr>
              <w:ind w:left="180"/>
              <w:spacing w:after="0"/>
              <w:rPr>
                <w:sz w:val="20"/>
                <w:szCs w:val="20"/>
                <w:color w:val="auto"/>
              </w:rPr>
            </w:pPr>
            <w:r>
              <w:rPr>
                <w:rFonts w:ascii="Arial" w:cs="Arial" w:eastAsia="Arial" w:hAnsi="Arial"/>
                <w:sz w:val="18"/>
                <w:szCs w:val="18"/>
                <w:b w:val="1"/>
                <w:bCs w:val="1"/>
                <w:color w:val="auto"/>
              </w:rPr>
              <w:t>– basic and diluted</w:t>
            </w:r>
          </w:p>
        </w:tc>
        <w:tc>
          <w:tcPr>
            <w:tcW w:w="1700" w:type="dxa"/>
            <w:vAlign w:val="bottom"/>
            <w:gridSpan w:val="2"/>
          </w:tcPr>
          <w:p>
            <w:pPr>
              <w:jc w:val="right"/>
              <w:ind w:right="340"/>
              <w:spacing w:after="0"/>
              <w:rPr>
                <w:sz w:val="20"/>
                <w:szCs w:val="20"/>
                <w:color w:val="auto"/>
              </w:rPr>
            </w:pPr>
            <w:r>
              <w:rPr>
                <w:rFonts w:ascii="Arial" w:cs="Arial" w:eastAsia="Arial" w:hAnsi="Arial"/>
                <w:sz w:val="18"/>
                <w:szCs w:val="18"/>
                <w:color w:val="auto"/>
              </w:rPr>
              <w:t>10,019,125</w:t>
            </w:r>
          </w:p>
        </w:tc>
        <w:tc>
          <w:tcPr>
            <w:tcW w:w="440" w:type="dxa"/>
            <w:vAlign w:val="bottom"/>
          </w:tcPr>
          <w:p>
            <w:pPr>
              <w:spacing w:after="0"/>
              <w:rPr>
                <w:sz w:val="20"/>
                <w:szCs w:val="20"/>
                <w:color w:val="auto"/>
              </w:rPr>
            </w:pPr>
          </w:p>
        </w:tc>
        <w:tc>
          <w:tcPr>
            <w:tcW w:w="1260" w:type="dxa"/>
            <w:vAlign w:val="bottom"/>
            <w:gridSpan w:val="2"/>
          </w:tcPr>
          <w:p>
            <w:pPr>
              <w:jc w:val="right"/>
              <w:ind w:right="320"/>
              <w:spacing w:after="0"/>
              <w:rPr>
                <w:sz w:val="20"/>
                <w:szCs w:val="20"/>
                <w:color w:val="auto"/>
              </w:rPr>
            </w:pPr>
            <w:r>
              <w:rPr>
                <w:rFonts w:ascii="Arial" w:cs="Arial" w:eastAsia="Arial" w:hAnsi="Arial"/>
                <w:sz w:val="18"/>
                <w:szCs w:val="18"/>
                <w:color w:val="auto"/>
              </w:rPr>
              <w:t>8,078,587</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9,703,101</w:t>
            </w:r>
          </w:p>
        </w:tc>
        <w:tc>
          <w:tcPr>
            <w:tcW w:w="440" w:type="dxa"/>
            <w:vAlign w:val="bottom"/>
          </w:tcPr>
          <w:p>
            <w:pPr>
              <w:spacing w:after="0"/>
              <w:rPr>
                <w:sz w:val="20"/>
                <w:szCs w:val="20"/>
                <w:color w:val="auto"/>
              </w:rPr>
            </w:pPr>
          </w:p>
        </w:tc>
        <w:tc>
          <w:tcPr>
            <w:tcW w:w="920" w:type="dxa"/>
            <w:vAlign w:val="bottom"/>
            <w:gridSpan w:val="2"/>
          </w:tcPr>
          <w:p>
            <w:pPr>
              <w:jc w:val="right"/>
              <w:ind w:right="20"/>
              <w:spacing w:after="0"/>
              <w:rPr>
                <w:sz w:val="20"/>
                <w:szCs w:val="20"/>
                <w:color w:val="auto"/>
              </w:rPr>
            </w:pPr>
            <w:r>
              <w:rPr>
                <w:rFonts w:ascii="Arial" w:cs="Arial" w:eastAsia="Arial" w:hAnsi="Arial"/>
                <w:sz w:val="18"/>
                <w:szCs w:val="18"/>
                <w:color w:val="auto"/>
              </w:rPr>
              <w:t>7,448,770</w:t>
            </w:r>
          </w:p>
        </w:tc>
        <w:tc>
          <w:tcPr>
            <w:tcW w:w="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3020" w:type="dxa"/>
            <w:vAlign w:val="bottom"/>
          </w:tcPr>
          <w:p>
            <w:pPr>
              <w:spacing w:after="0" w:line="20" w:lineRule="exact"/>
              <w:rPr>
                <w:sz w:val="1"/>
                <w:szCs w:val="1"/>
                <w:color w:val="auto"/>
              </w:rPr>
            </w:pPr>
          </w:p>
        </w:tc>
        <w:tc>
          <w:tcPr>
            <w:tcW w:w="1720" w:type="dxa"/>
            <w:vAlign w:val="bottom"/>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9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4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40" w:type="dxa"/>
            <w:vAlign w:val="bottom"/>
            <w:tcBorders>
              <w:top w:val="single" w:sz="8" w:color="auto"/>
              <w:bottom w:val="single" w:sz="8" w:color="auto"/>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1" w:name="page42"/>
    <w:bookmarkEnd w:id="41"/>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jc w:val="both"/>
        <w:ind w:right="20"/>
        <w:spacing w:after="0" w:line="301" w:lineRule="auto"/>
        <w:rPr>
          <w:sz w:val="20"/>
          <w:szCs w:val="20"/>
          <w:color w:val="auto"/>
        </w:rPr>
      </w:pPr>
      <w:r>
        <w:rPr>
          <w:rFonts w:ascii="Arial" w:cs="Arial" w:eastAsia="Arial" w:hAnsi="Arial"/>
          <w:sz w:val="16"/>
          <w:szCs w:val="16"/>
          <w:color w:val="auto"/>
        </w:rPr>
        <w:t>Revenue for the three months ended September 30, 2023 was $7,283,281, compared to $678,772 for the comparable period in 2022. The revenue for the three months ended September 30, 2023 was mostly generated from Meixin catering business and the fish trading business from NTB with the revenue of $3.8 million and $3.4 million respectively. The increase was mainly because of the development of the sales of eel becoming more mature compared with 2022. There are significant increases in sales locations for the goods and demands of customers for the three months ended September 30, 2023.</w:t>
      </w:r>
    </w:p>
    <w:p>
      <w:pPr>
        <w:spacing w:after="0" w:line="157"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Revenue for the nine months ended September 30, 2023 was $16,448,325, compared to $4,201,714 for the comparable period in 2022. The revenue for the nine months ended September 30, 2023 was mostly generated from Meixin catering business and the fish trading business from NTB with the revenue of $11.3 million and $5.1 million respectively. The increase was mainly because of the development of the sales of eel becoming more mature compared with 2022. There are significant increases in sales locations for the goods and demands of customers for the nine months ended September 30, 2023.</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Sales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Cost of Sales for the three months ended September 30, 2023 was $7,231,912, compared to $634,166 for the comparable period in 2022. The increase was mainly due to the decrease of fish harvesting which led to the increasing cost of fish trading business from NTB for the three months ended September 30, 2023.</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Cost of Sales for the nine months ended September 30, 2023 was $16,291,065, compared to $4,117,852 for the comparable period in 2022. The increase was mainly due to the decrease of fish harvesting which led to the increasing cost of fish trading business from NTB for the nine months ended September 30, 2023.</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Gross profit for the three months ended September 30, 2023 was $51,369, compared to $44,606 for the comparable period in 2022. The decrease was primarily because there was a significant increase in cost of sales from NTB’s fish trading business for the three months ended September 30, 2023.</w:t>
      </w:r>
    </w:p>
    <w:p>
      <w:pPr>
        <w:spacing w:after="0" w:line="124"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Gross profit for the nine months ended September 30, 2023 was $157,260, compared to $83,862 for the comparable period in 2022. The decrease was primarily because there was a significant increase in cost of sales from NTB’s fish trading business for the nine months ended September 30, 2023.</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General and administrative expenses were $319,762, for the three months ended September 30, 2023, compared to approximately $852,795 for the comparable period in 2022. This decrease was primarily due to the decrease of Audit and Advertising fees for the three months ended September 30, 2022 in connection with securities filings with the SEC and other related matters.</w:t>
      </w:r>
    </w:p>
    <w:p>
      <w:pPr>
        <w:spacing w:after="0" w:line="18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General and administrative expenses were $1,747,766, for the nine months ended September 30, 2023, compared to approximately $2,092,696 for the comparable period in 2022. This decrease was primarily due to the decrease of Advertising, and warrant expenses for the nine months ended September 30, 2023.</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2" w:name="page43"/>
    <w:bookmarkEnd w:id="42"/>
    <w:p>
      <w:pPr>
        <w:spacing w:after="0"/>
        <w:rPr>
          <w:sz w:val="20"/>
          <w:szCs w:val="20"/>
          <w:color w:val="auto"/>
        </w:rPr>
      </w:pPr>
      <w:r>
        <w:rPr>
          <w:rFonts w:ascii="Arial" w:cs="Arial" w:eastAsia="Arial" w:hAnsi="Arial"/>
          <w:sz w:val="18"/>
          <w:szCs w:val="18"/>
          <w:b w:val="1"/>
          <w:bCs w:val="1"/>
          <w:i w:val="1"/>
          <w:iCs w:val="1"/>
          <w:color w:val="auto"/>
        </w:rPr>
        <w:t>Other expense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Other expense was $4,385, for the three months ended September 30, 2023, compared to other income of $7,934 for the comparable period in 2022. The other income was interest revenue of bank deposits. The other expense was interest expense for a bank loan. The increase was mainly the effect of interest expense recognized for the three months ended September 30, 2023.</w:t>
      </w:r>
    </w:p>
    <w:p>
      <w:pPr>
        <w:spacing w:after="0" w:line="18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Other expense was $16,773, for the nine months ended September 30, 2023, compared to other expense of $8,052 for the comparable period in 2022. The other income was interest revenue of bank deposits. The other expense was interest expense for a bank loan.</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expense</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During the three months ended September 30, 2023, we recorded an income tax expense of $nil compared to income tax expense of $nil for the comparable period in 2022. The decrease of income tax expense is because we evaluated the income tax impact from XFC for the period ended September 30, 2022.</w:t>
      </w:r>
    </w:p>
    <w:p>
      <w:pPr>
        <w:spacing w:after="0" w:line="12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During the nine months ended September 30, 2023, we recorded an income tax expense of $nil compared to income tax expense of $422 for the comparable period in 2022. The decrease of income tax expense is because we evaluated the income tax impact from XFC for the period ended September 30, 2022.</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attributable to the Company</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Net loss attributable to us (excluding net loss attributable to non-controlling interest) for the three months ended September 30, 2023 was $264,059 compared to net loss attributable to us (excluding net loss attributable to non-controlling interest) of $865,490 for the comparable period in 2022. The decrease was primarily due to the decrease of General and administrative expenses for the three months ended September 30, 2023.</w:t>
      </w:r>
    </w:p>
    <w:p>
      <w:pPr>
        <w:spacing w:after="0" w:line="16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Net loss attributable to us (excluding net loss attributable to non-controlling interest) for the nine months ended September 30, 2023 was $1,563,081, compared to a net loss attributable to us (excluding net loss attributable to non-controlling interest) of $2,055,187 for the comparable period in 2022. The decrease was primarily due to the decrease of general and administrative expenses for the nine months ended September 30, 2023.</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We had net cash used by operating activities for the period ended September 30, 2023 and the cash balance was $1,281,258, as of September 30, 2023 and stockholders’ equity of $5,802,796. We believe our current cash balances coupled with anticipated cash flow from operating activities will be sufficient to meet our working capital requirements for at least one year from the date of issuance of the accompanying consolidated financial statements. We continue to control our cash expenses as a percentage of expected revenue on an annual basis and thus may use our cash balances in the short-term to invest in revenue growth. Management is also focused on growing our existing product offering, as well as our customer base, to increase our revenues. Our ability to continue as a going concern is dependent upon our ability to generate cashflows from operations and obtain financing. We cannot give assurance that we can increase our cash balances or limit our cash consumption and thus maintain sufficient cash balances for our planned operations or future acquisitions. Future business demands may lead to cash utilization at levels greater than recently experienced. We may need to raise additional capital in the future. However, we cannot assure that we will be able to raise additional capital on acceptable terms, or at all. Subject to the foregoing, however, management believes that our current cash balances coupled with anticipated cash flow from operating activities will be sufficient to meet our working capital requirements for at least one year from the date of issuance of the accompanying consolidated financial statements.</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color w:val="auto"/>
        </w:rPr>
        <w:t>To date, we have funded our operations through revenues, loans from our officers, and the issuance of equity securities.</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Since the net asset balance as of September 30, 2023 was $7,578,166, there is no substantial doubt as to our ability to continue as a going concern.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i w:val="1"/>
          <w:iCs w:val="1"/>
          <w:color w:val="auto"/>
        </w:rPr>
        <w:t>Financings</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August 15, 2022, we consummated a public offering of 1,880,000 units (the “Units”) for $3.50 per Unit pursuant to an effective registration statement on Form S-1, as amended (File No. 333-264059). Each Unit consisted of one share of common stock, par value $0.001 per share, and one warrant to purchase two shares of common stock (the “Warrants”) from the date of issuance until the fifth anniversary of the issuance date for $3.85 per share of common stock, subject to adjustment in the event of stock dividends, stock splits, stock combinations, reclassifications, reorganizations or similar events affecting the common stock. The shares of common stock and the Warrants comprising the Units were immediately separable and issued separately in the offering.</w:t>
      </w:r>
    </w:p>
    <w:p>
      <w:pPr>
        <w:spacing w:after="0" w:line="192" w:lineRule="exact"/>
        <w:rPr>
          <w:sz w:val="20"/>
          <w:szCs w:val="20"/>
          <w:color w:val="auto"/>
        </w:rPr>
      </w:pPr>
    </w:p>
    <w:p>
      <w:pPr>
        <w:jc w:val="both"/>
        <w:spacing w:after="0" w:line="248" w:lineRule="auto"/>
        <w:rPr>
          <w:sz w:val="20"/>
          <w:szCs w:val="20"/>
          <w:color w:val="auto"/>
        </w:rPr>
      </w:pPr>
      <w:r>
        <w:rPr>
          <w:rFonts w:ascii="Arial" w:cs="Arial" w:eastAsia="Arial" w:hAnsi="Arial"/>
          <w:sz w:val="17"/>
          <w:szCs w:val="17"/>
          <w:color w:val="auto"/>
        </w:rPr>
        <w:t>The exercise price of the Warrants will be decreased to the reset price, which means the greater of (i) 50% of the exercise price and (ii) 100% of the last volume weighted average price immediately preceding the 90</w:t>
      </w:r>
      <w:r>
        <w:rPr>
          <w:rFonts w:ascii="Arial" w:cs="Arial" w:eastAsia="Arial" w:hAnsi="Arial"/>
          <w:sz w:val="28"/>
          <w:szCs w:val="28"/>
          <w:color w:val="auto"/>
          <w:vertAlign w:val="superscript"/>
        </w:rPr>
        <w:t>th</w:t>
      </w:r>
      <w:r>
        <w:rPr>
          <w:rFonts w:ascii="Arial" w:cs="Arial" w:eastAsia="Arial" w:hAnsi="Arial"/>
          <w:sz w:val="17"/>
          <w:szCs w:val="17"/>
          <w:color w:val="auto"/>
        </w:rPr>
        <w:t xml:space="preserve"> calendar day following the initial exercise date if, on the date that is 90 calendar days immediately following the initial exercise date, the exercise price is less than the reset price. We have not applied nor intend to apply to have the warrants listed on any exchange. The Public Offering closed on August 15, 2022, and we received total gross proceeds of $6.58 million. After deducting the underwriting commissions, discounts, and offering expenses, we received net proceeds of approximately $5.3 million.</w:t>
      </w:r>
    </w:p>
    <w:p>
      <w:pPr>
        <w:spacing w:after="0" w:line="196"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ectPr>
          <w:pgSz w:w="11900" w:h="16838" w:orient="portrait"/>
          <w:cols w:equalWidth="0" w:num="1">
            <w:col w:w="11240"/>
          </w:cols>
          <w:pgMar w:left="320" w:top="800" w:right="339" w:bottom="1440" w:gutter="0" w:footer="0" w:header="0"/>
        </w:sectPr>
      </w:pPr>
    </w:p>
    <w:p>
      <w:pPr>
        <w:spacing w:after="0" w:line="157"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provides detailed information about our net cash flows for the periods indicated: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spacing w:after="0"/>
        <w:rPr>
          <w:sz w:val="20"/>
          <w:szCs w:val="20"/>
          <w:color w:val="auto"/>
        </w:rPr>
      </w:pPr>
      <w:r>
        <w:rPr>
          <w:rFonts w:ascii="Arial" w:cs="Arial" w:eastAsia="Arial" w:hAnsi="Arial"/>
          <w:sz w:val="18"/>
          <w:szCs w:val="18"/>
          <w:color w:val="auto"/>
        </w:rPr>
        <w:t>Net cash used in operating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Net cash used in investing activities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Net cash used in financing activities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Effect of the exchange rate change on cash</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Decrease in cash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7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operating activities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65"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For the nine months ended</w:t>
      </w:r>
    </w:p>
    <w:p>
      <w:pPr>
        <w:spacing w:after="0" w:line="27" w:lineRule="exact"/>
        <w:rPr>
          <w:sz w:val="20"/>
          <w:szCs w:val="20"/>
          <w:color w:val="auto"/>
        </w:rPr>
      </w:pPr>
    </w:p>
    <w:p>
      <w:pPr>
        <w:jc w:val="center"/>
        <w:ind w:right="100"/>
        <w:spacing w:after="0"/>
        <w:rPr>
          <w:sz w:val="20"/>
          <w:szCs w:val="20"/>
          <w:color w:val="auto"/>
        </w:rPr>
      </w:pPr>
      <w:r>
        <w:rPr>
          <w:rFonts w:ascii="Arial" w:cs="Arial" w:eastAsia="Arial" w:hAnsi="Arial"/>
          <w:sz w:val="18"/>
          <w:szCs w:val="18"/>
          <w:b w:val="1"/>
          <w:bCs w:val="1"/>
          <w:color w:val="auto"/>
        </w:rPr>
        <w:t>September 30,</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158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2023</w:t>
            </w:r>
          </w:p>
        </w:tc>
        <w:tc>
          <w:tcPr>
            <w:tcW w:w="320" w:type="dxa"/>
            <w:vAlign w:val="bottom"/>
            <w:tcBorders>
              <w:top w:val="single" w:sz="8" w:color="auto"/>
            </w:tcBorders>
          </w:tcPr>
          <w:p>
            <w:pPr>
              <w:spacing w:after="0"/>
              <w:rPr>
                <w:sz w:val="19"/>
                <w:szCs w:val="19"/>
                <w:color w:val="auto"/>
              </w:rPr>
            </w:pPr>
          </w:p>
        </w:tc>
        <w:tc>
          <w:tcPr>
            <w:tcW w:w="1580" w:type="dxa"/>
            <w:vAlign w:val="bottom"/>
            <w:tcBorders>
              <w:top w:val="single" w:sz="8" w:color="auto"/>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60" w:type="dxa"/>
            <w:vAlign w:val="bottom"/>
          </w:tcPr>
          <w:p>
            <w:pPr>
              <w:spacing w:after="0"/>
              <w:rPr>
                <w:sz w:val="19"/>
                <w:szCs w:val="19"/>
                <w:color w:val="auto"/>
              </w:rPr>
            </w:pPr>
          </w:p>
        </w:tc>
      </w:tr>
      <w:tr>
        <w:trPr>
          <w:trHeight w:val="195"/>
        </w:trPr>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320" w:type="dxa"/>
            <w:vAlign w:val="bottom"/>
          </w:tcPr>
          <w:p>
            <w:pPr>
              <w:spacing w:after="0"/>
              <w:rPr>
                <w:sz w:val="16"/>
                <w:szCs w:val="16"/>
                <w:color w:val="auto"/>
              </w:rPr>
            </w:pPr>
          </w:p>
        </w:tc>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6"/>
                <w:szCs w:val="16"/>
                <w:color w:val="auto"/>
              </w:rPr>
            </w:pPr>
          </w:p>
        </w:tc>
      </w:tr>
      <w:tr>
        <w:trPr>
          <w:trHeight w:val="216"/>
        </w:trPr>
        <w:tc>
          <w:tcPr>
            <w:tcW w:w="1900" w:type="dxa"/>
            <w:vAlign w:val="bottom"/>
            <w:gridSpan w:val="2"/>
          </w:tcPr>
          <w:p>
            <w:pPr>
              <w:jc w:val="right"/>
              <w:ind w:right="260"/>
              <w:spacing w:after="0"/>
              <w:rPr>
                <w:sz w:val="20"/>
                <w:szCs w:val="20"/>
                <w:color w:val="auto"/>
              </w:rPr>
            </w:pPr>
            <w:r>
              <w:rPr>
                <w:rFonts w:ascii="Arial" w:cs="Arial" w:eastAsia="Arial" w:hAnsi="Arial"/>
                <w:sz w:val="18"/>
                <w:szCs w:val="18"/>
                <w:color w:val="auto"/>
              </w:rPr>
              <w:t>(1,052,084)</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(669,080)</w:t>
            </w:r>
          </w:p>
        </w:tc>
      </w:tr>
      <w:tr>
        <w:trPr>
          <w:trHeight w:val="216"/>
        </w:trPr>
        <w:tc>
          <w:tcPr>
            <w:tcW w:w="1900" w:type="dxa"/>
            <w:vAlign w:val="bottom"/>
            <w:gridSpan w:val="2"/>
          </w:tcPr>
          <w:p>
            <w:pPr>
              <w:jc w:val="right"/>
              <w:ind w:right="260"/>
              <w:spacing w:after="0"/>
              <w:rPr>
                <w:sz w:val="20"/>
                <w:szCs w:val="20"/>
                <w:color w:val="auto"/>
              </w:rPr>
            </w:pPr>
            <w:r>
              <w:rPr>
                <w:rFonts w:ascii="Arial" w:cs="Arial" w:eastAsia="Arial" w:hAnsi="Arial"/>
                <w:sz w:val="18"/>
                <w:szCs w:val="18"/>
                <w:color w:val="auto"/>
              </w:rPr>
              <w:t>(1,057,870)</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(5,128,580)</w:t>
            </w:r>
          </w:p>
        </w:tc>
      </w:tr>
      <w:tr>
        <w:trPr>
          <w:trHeight w:val="216"/>
        </w:trPr>
        <w:tc>
          <w:tcPr>
            <w:tcW w:w="1900" w:type="dxa"/>
            <w:vAlign w:val="bottom"/>
            <w:gridSpan w:val="2"/>
          </w:tcPr>
          <w:p>
            <w:pPr>
              <w:jc w:val="right"/>
              <w:ind w:right="320"/>
              <w:spacing w:after="0"/>
              <w:rPr>
                <w:sz w:val="20"/>
                <w:szCs w:val="20"/>
                <w:color w:val="auto"/>
              </w:rPr>
            </w:pPr>
            <w:r>
              <w:rPr>
                <w:rFonts w:ascii="Arial" w:cs="Arial" w:eastAsia="Arial" w:hAnsi="Arial"/>
                <w:sz w:val="18"/>
                <w:szCs w:val="18"/>
                <w:color w:val="auto"/>
              </w:rPr>
              <w:t>504,480</w:t>
            </w:r>
          </w:p>
        </w:tc>
        <w:tc>
          <w:tcPr>
            <w:tcW w:w="1580" w:type="dxa"/>
            <w:vAlign w:val="bottom"/>
          </w:tcPr>
          <w:p>
            <w:pPr>
              <w:jc w:val="right"/>
              <w:spacing w:after="0"/>
              <w:rPr>
                <w:sz w:val="20"/>
                <w:szCs w:val="20"/>
                <w:color w:val="auto"/>
              </w:rPr>
            </w:pPr>
            <w:r>
              <w:rPr>
                <w:rFonts w:ascii="Arial" w:cs="Arial" w:eastAsia="Arial" w:hAnsi="Arial"/>
                <w:sz w:val="18"/>
                <w:szCs w:val="18"/>
                <w:color w:val="auto"/>
              </w:rPr>
              <w:t>5,611,338</w:t>
            </w:r>
          </w:p>
        </w:tc>
        <w:tc>
          <w:tcPr>
            <w:tcW w:w="60" w:type="dxa"/>
            <w:vAlign w:val="bottom"/>
          </w:tcPr>
          <w:p>
            <w:pPr>
              <w:spacing w:after="0"/>
              <w:rPr>
                <w:sz w:val="18"/>
                <w:szCs w:val="18"/>
                <w:color w:val="auto"/>
              </w:rPr>
            </w:pPr>
          </w:p>
        </w:tc>
      </w:tr>
      <w:tr>
        <w:trPr>
          <w:trHeight w:val="244"/>
        </w:trPr>
        <w:tc>
          <w:tcPr>
            <w:tcW w:w="1900" w:type="dxa"/>
            <w:vAlign w:val="bottom"/>
            <w:gridSpan w:val="2"/>
          </w:tcPr>
          <w:p>
            <w:pPr>
              <w:jc w:val="right"/>
              <w:ind w:right="260"/>
              <w:spacing w:after="0"/>
              <w:rPr>
                <w:sz w:val="20"/>
                <w:szCs w:val="20"/>
                <w:color w:val="auto"/>
              </w:rPr>
            </w:pPr>
            <w:r>
              <w:rPr>
                <w:rFonts w:ascii="Arial" w:cs="Arial" w:eastAsia="Arial" w:hAnsi="Arial"/>
                <w:sz w:val="18"/>
                <w:szCs w:val="18"/>
                <w:color w:val="auto"/>
              </w:rPr>
              <w:t>(19,342)</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(54,095)</w:t>
            </w:r>
          </w:p>
        </w:tc>
      </w:tr>
      <w:tr>
        <w:trPr>
          <w:trHeight w:val="223"/>
        </w:trPr>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(1,624,816)</w:t>
            </w:r>
          </w:p>
        </w:tc>
        <w:tc>
          <w:tcPr>
            <w:tcW w:w="3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(240,417)</w:t>
            </w:r>
          </w:p>
        </w:tc>
        <w:tc>
          <w:tcPr>
            <w:tcW w:w="60" w:type="dxa"/>
            <w:vAlign w:val="bottom"/>
          </w:tcPr>
          <w:p>
            <w:pPr>
              <w:spacing w:after="0"/>
              <w:rPr>
                <w:sz w:val="19"/>
                <w:szCs w:val="19"/>
                <w:color w:val="auto"/>
              </w:rPr>
            </w:pP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608" w:lineRule="exact"/>
        <w:rPr>
          <w:sz w:val="20"/>
          <w:szCs w:val="20"/>
          <w:color w:val="auto"/>
        </w:rPr>
      </w:pPr>
    </w:p>
    <w:p>
      <w:pPr>
        <w:sectPr>
          <w:pgSz w:w="11900" w:h="16838" w:orient="portrait"/>
          <w:cols w:equalWidth="0" w:num="2">
            <w:col w:w="7260" w:space="400"/>
            <w:col w:w="3580"/>
          </w:cols>
          <w:pgMar w:left="320" w:top="800" w:right="339" w:bottom="1440" w:gutter="0" w:footer="0" w:header="0"/>
          <w:type w:val="continuous"/>
        </w:sectPr>
      </w:pPr>
    </w:p>
    <w:p>
      <w:pPr>
        <w:spacing w:after="0" w:line="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Net cash used in operating activities amounted to $1,052,084 for the nine months ended September 30, 2023. This reflected a net loss of $1,607,279, consultancy services settled by equities of $521,100, depreciation of $109,953 and share-based compensation of $148,288.</w:t>
      </w:r>
    </w:p>
    <w:p>
      <w:pPr>
        <w:spacing w:after="0" w:line="170"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Net cash used in operating activities amounted to $669,080 for the nine months ended September 30, 2022. This reflected a net loss of $2,050,421, consultancy services settled by equities of $nil, depreciation of $36 and share-based compensation of $812,898.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investing activities</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Net cash used in investing activities was $1,057,870 for the nine months ended September 30, 2023, which were primarily attributable to the purchase of land and investment funds.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type w:val="continuous"/>
        </w:sectPr>
      </w:pPr>
    </w:p>
    <w:bookmarkStart w:id="44" w:name="page45"/>
    <w:bookmarkEnd w:id="44"/>
    <w:p>
      <w:pPr>
        <w:spacing w:after="0"/>
        <w:rPr>
          <w:sz w:val="20"/>
          <w:szCs w:val="20"/>
          <w:color w:val="auto"/>
        </w:rPr>
      </w:pPr>
      <w:r>
        <w:rPr>
          <w:rFonts w:ascii="Arial" w:cs="Arial" w:eastAsia="Arial" w:hAnsi="Arial"/>
          <w:sz w:val="18"/>
          <w:szCs w:val="18"/>
          <w:i w:val="1"/>
          <w:iCs w:val="1"/>
          <w:color w:val="auto"/>
        </w:rPr>
        <w:t>Net cash used by financing activities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cash provided by financing activities amounted to $504,480 for the nine months ended September 30, 2023, which was provided by the issuance of our common stock.</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Net cash provided by financing activities amounted to $5,611,338 for the nine months ended September 30, 2022, which was provided by the issuance of our common stock.</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Since we plan to build our land-based fish farming demo sites in the United States in 2024 to promote our fish farming systems to the global market, we expect that we will require additional capital, which includes construction costs, marketing costs, operation costs, etc., to meet our long-term operating requirements. We expect to obtain financing from shareholders or raise additional capital through, among other things, the sale of equity or debt securities. The shareholders are committed to provide additional financing required when we try to raise additional capital from third party investors or banks. However, there can be no assurance that we will be successful in raising this additional capital.</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Combinations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account for business acquisitions in accordance with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We measure the cost of an acquisition as the aggregate of the acquisition date fair values of the assets transferred and liabilities assumed and equity instruments issued. Transaction costs directly attributable to the acquisition are expensed as incurred. We record goodwill for the excess of (i) the total costs of acquisition, fair value of any non-controlling interests and acquisition date fair value of any previously held equity interest in the acquired business over (ii) the fair value of the identifiable net assets of the acquired business.</w:t>
      </w:r>
    </w:p>
    <w:p>
      <w:pPr>
        <w:spacing w:after="0" w:line="188"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The acquisition method of accounting requires us to exercise judgment and make estimates and assumptions based on available information regarding the fair values of the elements of a business combination as of the date of acquisition, including the fair values of identifiable intangible assets, deferred tax asset valuation allowances, liabilities related to uncertain tax positions and contingencies. We must also refine these estimates over a one-year measurement period, to reflect any new information obtained about facts and circumstances that existed as of the acquisition date that, if known, would have affected the measurement of the amounts recognized as of that date. If we are required to retroactively adjust provisional amounts that we have recorded for the fair value of assets and liabilities in connection with an acquisition, these adjustments could materially impact our results of operations and financial position. Estimates and assumptions that we must make in estimating the fair value of future acquired technology, user lists and other identifiable intangible assets include future cash flows that we expect to generate from the acquired assets. If the subsequent actual results and updated projections of the underlying business activity change compared with the assumptions and projections used to develop these values, we could record impairment charges. In addition, we have estimated the economic lives of certain acquired assets and these lives are used to calculate depreciation and amortization expense. If our estimates of the economic lives change, depreciation or amortization expenses could be accelerated or slowed, which could materially impact our results of operations.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refer to Note 2 above.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5" w:name="page46"/>
    <w:bookmarkEnd w:id="45"/>
    <w:p>
      <w:pPr>
        <w:spacing w:after="0"/>
        <w:tabs>
          <w:tab w:leader="none" w:pos="820" w:val="left"/>
        </w:tabs>
        <w:rPr>
          <w:sz w:val="20"/>
          <w:szCs w:val="20"/>
          <w:color w:val="auto"/>
        </w:rPr>
      </w:pPr>
      <w:r>
        <w:rPr>
          <w:rFonts w:ascii="Arial" w:cs="Arial" w:eastAsia="Arial" w:hAnsi="Arial"/>
          <w:sz w:val="18"/>
          <w:szCs w:val="18"/>
          <w:b w:val="1"/>
          <w:bCs w:val="1"/>
          <w:color w:val="auto"/>
        </w:rPr>
        <w:t>ITEM 3.</w:t>
        <w:tab/>
        <w:t>QUANTITATIVE AND QUALITATIVE DISCLOSURES ABOUT MARKET RISK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As a “smaller reporting company,” as defined by Rule 12b-2 of the Exchange Act, we are not required to provide the information in this Item.</w:t>
      </w:r>
    </w:p>
    <w:p>
      <w:pPr>
        <w:spacing w:after="0" w:line="221" w:lineRule="exact"/>
        <w:rPr>
          <w:sz w:val="20"/>
          <w:szCs w:val="20"/>
          <w:color w:val="auto"/>
        </w:rPr>
      </w:pPr>
    </w:p>
    <w:p>
      <w:pPr>
        <w:spacing w:after="0"/>
        <w:tabs>
          <w:tab w:leader="none" w:pos="820" w:val="left"/>
        </w:tabs>
        <w:rPr>
          <w:sz w:val="20"/>
          <w:szCs w:val="20"/>
          <w:color w:val="auto"/>
        </w:rPr>
      </w:pPr>
      <w:r>
        <w:rPr>
          <w:rFonts w:ascii="Arial" w:cs="Arial" w:eastAsia="Arial" w:hAnsi="Arial"/>
          <w:sz w:val="18"/>
          <w:szCs w:val="18"/>
          <w:b w:val="1"/>
          <w:bCs w:val="1"/>
          <w:color w:val="auto"/>
        </w:rPr>
        <w:t>ITEM 4.</w:t>
      </w:r>
      <w:r>
        <w:rPr>
          <w:sz w:val="20"/>
          <w:szCs w:val="20"/>
          <w:color w:val="auto"/>
        </w:rPr>
        <w:tab/>
      </w:r>
      <w:r>
        <w:rPr>
          <w:rFonts w:ascii="Arial" w:cs="Arial" w:eastAsia="Arial" w:hAnsi="Arial"/>
          <w:sz w:val="17"/>
          <w:szCs w:val="17"/>
          <w:b w:val="1"/>
          <w:bCs w:val="1"/>
          <w:color w:val="auto"/>
        </w:rPr>
        <w:t>CONTROLS AND PROCEDURES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Evaluation of Disclosure Controls and Procedures</w:t>
      </w:r>
    </w:p>
    <w:p>
      <w:pPr>
        <w:spacing w:after="0" w:line="22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Our management, under the supervision of our Chief Executive Officer and Chief Financial Officer performed an evaluation (the “Evaluation”) of the effectiveness of our disclosure controls and procedures (as defined in Exchange Act Rules 13a-15(e) and 15d-15(e)) as of the end of the period covered by this Quarterly Report on Form 10-Q. Disclosure controls and procedures include, without limitation, controls and procedures designed to provide a reasonable level of assurance that information required to be disclosed by us in the reports that we file or submit under the Exchange Act is recorded, processed, summarized and reported, within the time periods specified in the SEC’s rules and forms, and is accumulated and communicated to our management, including our principal executive and principal financial officers, or persons performing similar functions, as appropriate to allow timely decisions regarding required disclosure. Based on that evaluation, our Chief Executive Officer and Chief Financial Officer concluded that, as of September 30, 2023, due to the presence of material weaknesses described below, our disclosure controls and procedures were ineffective.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 following material weaknesses in our disclosure controls and procedures at September 30, 2023 were:</w:t>
      </w:r>
    </w:p>
    <w:p>
      <w:pPr>
        <w:spacing w:after="0" w:line="225" w:lineRule="exact"/>
        <w:rPr>
          <w:sz w:val="20"/>
          <w:szCs w:val="20"/>
          <w:color w:val="auto"/>
        </w:rPr>
      </w:pPr>
    </w:p>
    <w:p>
      <w:pPr>
        <w:ind w:left="680" w:hanging="335"/>
        <w:spacing w:after="0" w:line="277" w:lineRule="auto"/>
        <w:tabs>
          <w:tab w:leader="none" w:pos="6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we did not have written documentation of our internal control policies and procedures. Written documentation of key internal controls over financial reporting is a requirement of Section 404 of the Sarbanes-Oxley Act of 2002;</w:t>
      </w:r>
    </w:p>
    <w:p>
      <w:pPr>
        <w:spacing w:after="0" w:line="170" w:lineRule="exact"/>
        <w:rPr>
          <w:rFonts w:ascii="Arial" w:cs="Arial" w:eastAsia="Arial" w:hAnsi="Arial"/>
          <w:sz w:val="18"/>
          <w:szCs w:val="18"/>
          <w:color w:val="auto"/>
        </w:rPr>
      </w:pPr>
    </w:p>
    <w:p>
      <w:pPr>
        <w:ind w:left="680" w:hanging="335"/>
        <w:spacing w:after="0" w:line="277" w:lineRule="auto"/>
        <w:tabs>
          <w:tab w:leader="none" w:pos="680" w:val="left"/>
        </w:tabs>
        <w:numPr>
          <w:ilvl w:val="1"/>
          <w:numId w:val="11"/>
        </w:numPr>
        <w:rPr>
          <w:rFonts w:ascii="Arial" w:cs="Arial" w:eastAsia="Arial" w:hAnsi="Arial"/>
          <w:sz w:val="18"/>
          <w:szCs w:val="18"/>
          <w:color w:val="auto"/>
        </w:rPr>
      </w:pPr>
      <w:r>
        <w:rPr>
          <w:rFonts w:ascii="Arial" w:cs="Arial" w:eastAsia="Arial" w:hAnsi="Arial"/>
          <w:sz w:val="18"/>
          <w:szCs w:val="18"/>
          <w:color w:val="auto"/>
        </w:rPr>
        <w:t>there were insufficient monitoring and review controls over the financial reporting closing process, including the lack of individuals with current knowledge of GAAP that led to the restatement of our previously issued financial statements; and</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1"/>
        </w:numPr>
        <w:rPr>
          <w:rFonts w:ascii="Arial" w:cs="Arial" w:eastAsia="Arial" w:hAnsi="Arial"/>
          <w:sz w:val="18"/>
          <w:szCs w:val="18"/>
          <w:color w:val="auto"/>
        </w:rPr>
      </w:pPr>
      <w:r>
        <w:rPr>
          <w:rFonts w:ascii="Arial" w:cs="Arial" w:eastAsia="Arial" w:hAnsi="Arial"/>
          <w:sz w:val="18"/>
          <w:szCs w:val="18"/>
          <w:color w:val="auto"/>
        </w:rPr>
        <w:t>inadequate segregation of duties.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believe that these material weaknesses primarily relate, in part, to our lack of sufficient staff with appropriate training in GAAP and SEC rules and regulations with respect to financial reporting functions, and the lack of robust accounting systems, as well as the lack of sufficient resources to hire such staff and implement these accounting systems.</w:t>
      </w:r>
    </w:p>
    <w:p>
      <w:pPr>
        <w:spacing w:after="0" w:line="184"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We expect to remediate these material weaknesses in the second half of 2023. However, we may discover additional material weaknesses that may require additional time and resources to remediate. Our remediation process includes, but not limited to:</w:t>
      </w:r>
    </w:p>
    <w:p>
      <w:pPr>
        <w:spacing w:after="0" w:line="170"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Investing in information technology systems to enhance our operational and financial reporting and internal controls.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Enhancing the organizational structure to support financial reporting processes and internal controls.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Providing guidance, education and training to employees relating to our accounting policies and procedures.</w:t>
      </w:r>
    </w:p>
    <w:p>
      <w:pPr>
        <w:spacing w:after="0" w:line="225"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Further developing and documenting detailed policies and procedures regarding business processes for significant accounts, critical accounting policies and critical accounting estimates.</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Establishing effective general controls over information technology systems to ensure that information produced can be relied upon by process level controls is relevant and reliable.</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6" w:name="page47"/>
    <w:bookmarkEnd w:id="46"/>
    <w:p>
      <w:pPr>
        <w:jc w:val="both"/>
        <w:spacing w:after="0" w:line="257" w:lineRule="auto"/>
        <w:rPr>
          <w:sz w:val="20"/>
          <w:szCs w:val="20"/>
          <w:color w:val="auto"/>
        </w:rPr>
      </w:pPr>
      <w:r>
        <w:rPr>
          <w:rFonts w:ascii="Arial" w:cs="Arial" w:eastAsia="Arial" w:hAnsi="Arial"/>
          <w:sz w:val="18"/>
          <w:szCs w:val="18"/>
          <w:color w:val="auto"/>
        </w:rPr>
        <w:t>Notwithstanding the foregoing, there can be no assurance that our disclosure controls and procedures will detect or uncover all failures of persons within our Company and our consolidated subsidiaries to disclose material information otherwise required to be set forth in our periodic reports. There are inherent limitations to the effectiveness of any system of disclosure controls and procedures, including the possibility of human error and the circumvention or overriding of the controls and procedures. Accordingly, even effective disclosure controls and procedures can only provide reasonable, not absolute, assurance of achieving their control objectives.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Internal Control Over Financial Reporting</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During the quarter ended September 30, 2023, we took several actions to correct past material weaknesses, including, but not limited to, establishing an audit committee of our Board of Directors comprised of three independent directors, adding experienced accounting and financial personnel and retaining third-party consultants to review our internal controls and recommend improvements. However, we may need to take additional measures to fully mitigate these issues, and the measures we have taken, and expect to take, to improve our internal controls may not be sufficient to (1) address the issues identified,</w:t>
      </w:r>
    </w:p>
    <w:p>
      <w:pPr>
        <w:spacing w:after="0" w:line="1" w:lineRule="exact"/>
        <w:rPr>
          <w:sz w:val="20"/>
          <w:szCs w:val="20"/>
          <w:color w:val="auto"/>
        </w:rPr>
      </w:pPr>
    </w:p>
    <w:p>
      <w:pPr>
        <w:ind w:firstLine="8"/>
        <w:spacing w:after="0" w:line="260" w:lineRule="auto"/>
        <w:tabs>
          <w:tab w:leader="none" w:pos="281" w:val="left"/>
        </w:tabs>
        <w:numPr>
          <w:ilvl w:val="0"/>
          <w:numId w:val="13"/>
        </w:numPr>
        <w:rPr>
          <w:rFonts w:ascii="Arial" w:cs="Arial" w:eastAsia="Arial" w:hAnsi="Arial"/>
          <w:sz w:val="18"/>
          <w:szCs w:val="18"/>
          <w:color w:val="auto"/>
        </w:rPr>
      </w:pPr>
      <w:r>
        <w:rPr>
          <w:rFonts w:ascii="Arial" w:cs="Arial" w:eastAsia="Arial" w:hAnsi="Arial"/>
          <w:sz w:val="18"/>
          <w:szCs w:val="18"/>
          <w:color w:val="auto"/>
        </w:rPr>
        <w:t>ensure that our internal controls are effective or (3) ensure that the identified material weakness or other material weaknesses will not result in a material misstatement of our annual or interim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7" w:name="page48"/>
    <w:bookmarkEnd w:id="47"/>
    <w:p>
      <w:pPr>
        <w:jc w:val="center"/>
        <w:ind w:right="-19"/>
        <w:spacing w:after="0"/>
        <w:rPr>
          <w:sz w:val="20"/>
          <w:szCs w:val="20"/>
          <w:color w:val="auto"/>
        </w:rPr>
      </w:pPr>
      <w:r>
        <w:rPr>
          <w:rFonts w:ascii="Arial" w:cs="Arial" w:eastAsia="Arial" w:hAnsi="Arial"/>
          <w:sz w:val="18"/>
          <w:szCs w:val="18"/>
          <w:b w:val="1"/>
          <w:bCs w:val="1"/>
          <w:color w:val="auto"/>
        </w:rPr>
        <w:t>PART II OTHER INFORMATION</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were not subject to any legal proceedings during the nine months ended September 30, 2023 and there are currently no legal proceedings, to which we are a party, which could have a material adverse effect on our business, financial condition or operating results.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There have been no material changes in our risk factors as previously disclosed in our Annual Report on Form 10-K, as amended, for the year ended December 31, 2022, initially filed with the SEC on March 31, 2023.</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Subsequent Events</w:t>
      </w:r>
    </w:p>
    <w:p>
      <w:pPr>
        <w:spacing w:after="0" w:line="229" w:lineRule="exact"/>
        <w:rPr>
          <w:sz w:val="20"/>
          <w:szCs w:val="20"/>
          <w:color w:val="auto"/>
        </w:rPr>
      </w:pPr>
    </w:p>
    <w:p>
      <w:pPr>
        <w:ind w:left="660" w:right="20" w:hanging="328"/>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On October 11, 2023, we issued 20,000 shares of common stock to Mr. Nick Chang in consideration for services rendered as a consultant for three years.</w:t>
      </w:r>
    </w:p>
    <w:p>
      <w:pPr>
        <w:spacing w:after="0" w:line="170" w:lineRule="exact"/>
        <w:rPr>
          <w:rFonts w:ascii="Arial" w:cs="Arial" w:eastAsia="Arial" w:hAnsi="Arial"/>
          <w:sz w:val="18"/>
          <w:szCs w:val="18"/>
          <w:color w:val="auto"/>
        </w:rPr>
      </w:pPr>
    </w:p>
    <w:p>
      <w:pPr>
        <w:ind w:left="660" w:right="60" w:hanging="328"/>
        <w:spacing w:after="0" w:line="277" w:lineRule="auto"/>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On October 13, 2023, we decided to terminate the flagship bento box store by shifting retail sales focus from physical presence to online sales and developing e-commerce.</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Executive Employment Agreement dated as of July 31, 2023, by and between Nocera, Inc. and Andy Jin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8" w:name="page49"/>
    <w:bookmarkEnd w:id="48"/>
    <w:tbl>
      <w:tblPr>
        <w:tblLayout w:type="fixed"/>
        <w:tblInd w:w="0" w:type="dxa"/>
        <w:tblCellMar>
          <w:top w:w="0" w:type="dxa"/>
          <w:left w:w="0" w:type="dxa"/>
          <w:bottom w:w="0" w:type="dxa"/>
          <w:right w:w="0" w:type="dxa"/>
        </w:tblCellMar>
      </w:tblPr>
      <w:tr>
        <w:trPr>
          <w:trHeight w:val="234"/>
        </w:trPr>
        <w:tc>
          <w:tcPr>
            <w:tcW w:w="8840" w:type="dxa"/>
            <w:vAlign w:val="bottom"/>
            <w:gridSpan w:val="7"/>
          </w:tcPr>
          <w:p>
            <w:pPr>
              <w:spacing w:after="0"/>
              <w:rPr>
                <w:sz w:val="20"/>
                <w:szCs w:val="20"/>
                <w:color w:val="auto"/>
              </w:rPr>
            </w:pPr>
            <w:r>
              <w:rPr>
                <w:rFonts w:ascii="Arial" w:cs="Arial" w:eastAsia="Arial" w:hAnsi="Arial"/>
                <w:sz w:val="18"/>
                <w:szCs w:val="18"/>
                <w:b w:val="1"/>
                <w:bCs w:val="1"/>
                <w:color w:val="auto"/>
              </w:rPr>
              <w:t>ITEM 6. EXHIBITS</w:t>
            </w:r>
          </w:p>
        </w:tc>
        <w:tc>
          <w:tcPr>
            <w:tcW w:w="2200" w:type="dxa"/>
            <w:vAlign w:val="bottom"/>
          </w:tcPr>
          <w:p>
            <w:pPr>
              <w:spacing w:after="0"/>
              <w:rPr>
                <w:sz w:val="20"/>
                <w:szCs w:val="20"/>
                <w:color w:val="auto"/>
              </w:rPr>
            </w:pPr>
          </w:p>
        </w:tc>
      </w:tr>
      <w:tr>
        <w:trPr>
          <w:trHeight w:val="432"/>
        </w:trPr>
        <w:tc>
          <w:tcPr>
            <w:tcW w:w="8840" w:type="dxa"/>
            <w:vAlign w:val="bottom"/>
            <w:gridSpan w:val="7"/>
          </w:tcPr>
          <w:p>
            <w:pPr>
              <w:ind w:left="100"/>
              <w:spacing w:after="0"/>
              <w:rPr>
                <w:sz w:val="20"/>
                <w:szCs w:val="20"/>
                <w:color w:val="auto"/>
              </w:rPr>
            </w:pPr>
            <w:r>
              <w:rPr>
                <w:rFonts w:ascii="Arial" w:cs="Arial" w:eastAsia="Arial" w:hAnsi="Arial"/>
                <w:sz w:val="18"/>
                <w:szCs w:val="18"/>
                <w:color w:val="auto"/>
              </w:rPr>
              <w:t>(a)  The following exhibits are filed herewith or incorporated by reference herein:</w:t>
            </w:r>
          </w:p>
        </w:tc>
        <w:tc>
          <w:tcPr>
            <w:tcW w:w="2200" w:type="dxa"/>
            <w:vAlign w:val="bottom"/>
          </w:tcPr>
          <w:p>
            <w:pPr>
              <w:spacing w:after="0"/>
              <w:rPr>
                <w:sz w:val="24"/>
                <w:szCs w:val="24"/>
                <w:color w:val="auto"/>
              </w:rPr>
            </w:pPr>
          </w:p>
        </w:tc>
      </w:tr>
      <w:tr>
        <w:trPr>
          <w:trHeight w:val="414"/>
        </w:trPr>
        <w:tc>
          <w:tcPr>
            <w:tcW w:w="740" w:type="dxa"/>
            <w:vAlign w:val="bottom"/>
          </w:tcPr>
          <w:p>
            <w:pPr>
              <w:spacing w:after="0"/>
              <w:rPr>
                <w:sz w:val="20"/>
                <w:szCs w:val="20"/>
                <w:color w:val="auto"/>
              </w:rPr>
            </w:pPr>
            <w:r>
              <w:rPr>
                <w:rFonts w:ascii="Arial" w:cs="Arial" w:eastAsia="Arial" w:hAnsi="Arial"/>
                <w:sz w:val="18"/>
                <w:szCs w:val="18"/>
                <w:b w:val="1"/>
                <w:bCs w:val="1"/>
                <w:color w:val="auto"/>
              </w:rPr>
              <w:t>Exhibit</w:t>
            </w:r>
          </w:p>
        </w:tc>
        <w:tc>
          <w:tcPr>
            <w:tcW w:w="520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200" w:type="dxa"/>
            <w:vAlign w:val="bottom"/>
          </w:tcPr>
          <w:p>
            <w:pPr>
              <w:ind w:left="620"/>
              <w:spacing w:after="0"/>
              <w:rPr>
                <w:sz w:val="20"/>
                <w:szCs w:val="20"/>
                <w:color w:val="auto"/>
              </w:rPr>
            </w:pPr>
            <w:r>
              <w:rPr>
                <w:rFonts w:ascii="Arial" w:cs="Arial" w:eastAsia="Arial" w:hAnsi="Arial"/>
                <w:sz w:val="18"/>
                <w:szCs w:val="18"/>
                <w:b w:val="1"/>
                <w:bCs w:val="1"/>
                <w:color w:val="auto"/>
                <w:w w:val="89"/>
              </w:rPr>
              <w:t>Previously Filed and</w:t>
            </w:r>
          </w:p>
        </w:tc>
      </w:tr>
      <w:tr>
        <w:trPr>
          <w:trHeight w:val="216"/>
        </w:trPr>
        <w:tc>
          <w:tcPr>
            <w:tcW w:w="740" w:type="dxa"/>
            <w:vAlign w:val="bottom"/>
          </w:tcPr>
          <w:p>
            <w:pPr>
              <w:spacing w:after="0"/>
              <w:rPr>
                <w:sz w:val="20"/>
                <w:szCs w:val="20"/>
                <w:color w:val="auto"/>
              </w:rPr>
            </w:pPr>
            <w:r>
              <w:rPr>
                <w:rFonts w:ascii="Arial" w:cs="Arial" w:eastAsia="Arial" w:hAnsi="Arial"/>
                <w:sz w:val="18"/>
                <w:szCs w:val="18"/>
                <w:b w:val="1"/>
                <w:bCs w:val="1"/>
                <w:color w:val="auto"/>
              </w:rPr>
              <w:t>No.</w:t>
            </w:r>
          </w:p>
        </w:tc>
        <w:tc>
          <w:tcPr>
            <w:tcW w:w="520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560" w:type="dxa"/>
            <w:vAlign w:val="bottom"/>
          </w:tcPr>
          <w:p>
            <w:pPr>
              <w:spacing w:after="0"/>
              <w:rPr>
                <w:sz w:val="18"/>
                <w:szCs w:val="18"/>
                <w:color w:val="auto"/>
              </w:rPr>
            </w:pPr>
          </w:p>
        </w:tc>
        <w:tc>
          <w:tcPr>
            <w:tcW w:w="2200" w:type="dxa"/>
            <w:vAlign w:val="bottom"/>
          </w:tcPr>
          <w:p>
            <w:pPr>
              <w:ind w:left="620"/>
              <w:spacing w:after="0"/>
              <w:rPr>
                <w:sz w:val="20"/>
                <w:szCs w:val="20"/>
                <w:color w:val="auto"/>
              </w:rPr>
            </w:pPr>
            <w:r>
              <w:rPr>
                <w:rFonts w:ascii="Arial" w:cs="Arial" w:eastAsia="Arial" w:hAnsi="Arial"/>
                <w:sz w:val="18"/>
                <w:szCs w:val="18"/>
                <w:b w:val="1"/>
                <w:bCs w:val="1"/>
                <w:color w:val="auto"/>
              </w:rPr>
              <w:t>Incorporated by</w:t>
            </w:r>
          </w:p>
        </w:tc>
      </w:tr>
      <w:tr>
        <w:trPr>
          <w:trHeight w:val="220"/>
        </w:trPr>
        <w:tc>
          <w:tcPr>
            <w:tcW w:w="740" w:type="dxa"/>
            <w:vAlign w:val="bottom"/>
          </w:tcPr>
          <w:p>
            <w:pPr>
              <w:spacing w:after="0"/>
              <w:rPr>
                <w:sz w:val="19"/>
                <w:szCs w:val="19"/>
                <w:color w:val="auto"/>
              </w:rPr>
            </w:pPr>
          </w:p>
        </w:tc>
        <w:tc>
          <w:tcPr>
            <w:tcW w:w="8100" w:type="dxa"/>
            <w:vAlign w:val="bottom"/>
            <w:gridSpan w:val="6"/>
          </w:tcPr>
          <w:p>
            <w:pPr>
              <w:spacing w:after="0"/>
              <w:rPr>
                <w:sz w:val="20"/>
                <w:szCs w:val="20"/>
                <w:color w:val="auto"/>
              </w:rPr>
            </w:pPr>
            <w:r>
              <w:rPr>
                <w:rFonts w:ascii="Arial" w:cs="Arial" w:eastAsia="Arial" w:hAnsi="Arial"/>
                <w:sz w:val="18"/>
                <w:szCs w:val="18"/>
                <w:b w:val="1"/>
                <w:bCs w:val="1"/>
                <w:color w:val="auto"/>
              </w:rPr>
              <w:t>Description</w:t>
            </w:r>
          </w:p>
        </w:tc>
        <w:tc>
          <w:tcPr>
            <w:tcW w:w="2200" w:type="dxa"/>
            <w:vAlign w:val="bottom"/>
          </w:tcPr>
          <w:p>
            <w:pPr>
              <w:ind w:left="620"/>
              <w:spacing w:after="0"/>
              <w:rPr>
                <w:sz w:val="20"/>
                <w:szCs w:val="20"/>
                <w:color w:val="auto"/>
              </w:rPr>
            </w:pPr>
            <w:r>
              <w:rPr>
                <w:rFonts w:ascii="Arial" w:cs="Arial" w:eastAsia="Arial" w:hAnsi="Arial"/>
                <w:sz w:val="18"/>
                <w:szCs w:val="18"/>
                <w:b w:val="1"/>
                <w:bCs w:val="1"/>
                <w:color w:val="auto"/>
              </w:rPr>
              <w:t>Reference Herein</w:t>
            </w:r>
          </w:p>
        </w:tc>
      </w:tr>
      <w:tr>
        <w:trPr>
          <w:trHeight w:val="190"/>
        </w:trPr>
        <w:tc>
          <w:tcPr>
            <w:tcW w:w="740" w:type="dxa"/>
            <w:vAlign w:val="bottom"/>
          </w:tcPr>
          <w:p>
            <w:pPr>
              <w:spacing w:after="0" w:line="190" w:lineRule="exact"/>
              <w:rPr>
                <w:sz w:val="20"/>
                <w:szCs w:val="20"/>
                <w:color w:val="auto"/>
              </w:rPr>
            </w:pPr>
            <w:r>
              <w:rPr>
                <w:rFonts w:ascii="Arial" w:cs="Arial" w:eastAsia="Arial" w:hAnsi="Arial"/>
                <w:sz w:val="18"/>
                <w:szCs w:val="18"/>
                <w:color w:val="auto"/>
              </w:rPr>
              <w:t>10.1</w:t>
            </w:r>
          </w:p>
        </w:tc>
        <w:tc>
          <w:tcPr>
            <w:tcW w:w="7540" w:type="dxa"/>
            <w:vAlign w:val="bottom"/>
            <w:tcBorders>
              <w:bottom w:val="single" w:sz="8" w:color="0000EE"/>
            </w:tcBorders>
            <w:gridSpan w:val="5"/>
          </w:tcPr>
          <w:p>
            <w:pPr>
              <w:spacing w:after="0" w:line="190" w:lineRule="exact"/>
              <w:rPr>
                <w:rFonts w:ascii="Arial" w:cs="Arial" w:eastAsia="Arial" w:hAnsi="Arial"/>
                <w:sz w:val="18"/>
                <w:szCs w:val="18"/>
                <w:color w:val="0000EE"/>
                <w:w w:val="90"/>
              </w:rPr>
            </w:pPr>
            <w:hyperlink r:id="rId82">
              <w:r>
                <w:rPr>
                  <w:rFonts w:ascii="Arial" w:cs="Arial" w:eastAsia="Arial" w:hAnsi="Arial"/>
                  <w:sz w:val="18"/>
                  <w:szCs w:val="18"/>
                  <w:color w:val="0000EE"/>
                  <w:w w:val="90"/>
                </w:rPr>
                <w:t>Executive Employment Agreement dated as of July 31, 2023, by and between Nocera, Inc. and Andy Jin</w:t>
              </w:r>
            </w:hyperlink>
          </w:p>
        </w:tc>
        <w:tc>
          <w:tcPr>
            <w:tcW w:w="560" w:type="dxa"/>
            <w:vAlign w:val="bottom"/>
          </w:tcPr>
          <w:p>
            <w:pPr>
              <w:spacing w:after="0"/>
              <w:rPr>
                <w:sz w:val="16"/>
                <w:szCs w:val="16"/>
                <w:color w:val="auto"/>
              </w:rPr>
            </w:pPr>
          </w:p>
        </w:tc>
        <w:tc>
          <w:tcPr>
            <w:tcW w:w="2200" w:type="dxa"/>
            <w:vAlign w:val="bottom"/>
          </w:tcPr>
          <w:p>
            <w:pPr>
              <w:ind w:left="560"/>
              <w:spacing w:after="0" w:line="190" w:lineRule="exact"/>
              <w:rPr>
                <w:sz w:val="20"/>
                <w:szCs w:val="20"/>
                <w:color w:val="auto"/>
              </w:rPr>
            </w:pPr>
            <w:r>
              <w:rPr>
                <w:rFonts w:ascii="Arial" w:cs="Arial" w:eastAsia="Arial" w:hAnsi="Arial"/>
                <w:sz w:val="18"/>
                <w:szCs w:val="18"/>
                <w:color w:val="auto"/>
              </w:rPr>
              <w:t>+</w:t>
            </w:r>
          </w:p>
        </w:tc>
      </w:tr>
      <w:tr>
        <w:trPr>
          <w:trHeight w:val="196"/>
        </w:trPr>
        <w:tc>
          <w:tcPr>
            <w:tcW w:w="740" w:type="dxa"/>
            <w:vAlign w:val="bottom"/>
          </w:tcPr>
          <w:p>
            <w:pPr>
              <w:spacing w:after="0" w:line="196" w:lineRule="exact"/>
              <w:rPr>
                <w:sz w:val="20"/>
                <w:szCs w:val="20"/>
                <w:color w:val="auto"/>
              </w:rPr>
            </w:pPr>
            <w:r>
              <w:rPr>
                <w:rFonts w:ascii="Arial" w:cs="Arial" w:eastAsia="Arial" w:hAnsi="Arial"/>
                <w:sz w:val="18"/>
                <w:szCs w:val="18"/>
                <w:color w:val="auto"/>
              </w:rPr>
              <w:t>31.1</w:t>
            </w:r>
          </w:p>
        </w:tc>
        <w:tc>
          <w:tcPr>
            <w:tcW w:w="8100" w:type="dxa"/>
            <w:vAlign w:val="bottom"/>
            <w:gridSpan w:val="6"/>
          </w:tcPr>
          <w:p>
            <w:pPr>
              <w:spacing w:after="0" w:line="196" w:lineRule="exact"/>
              <w:rPr>
                <w:sz w:val="20"/>
                <w:szCs w:val="20"/>
                <w:color w:val="auto"/>
              </w:rPr>
            </w:pPr>
            <w:r>
              <w:rPr>
                <w:rFonts w:ascii="Arial" w:cs="Arial" w:eastAsia="Arial" w:hAnsi="Arial"/>
                <w:sz w:val="18"/>
                <w:szCs w:val="18"/>
                <w:color w:val="0000EE"/>
              </w:rPr>
              <w:t>Rule 13a-14(a)/15d-14(a) Certification of the President and Chief Executive Officer of Nocera, Inc.</w:t>
            </w:r>
          </w:p>
        </w:tc>
        <w:tc>
          <w:tcPr>
            <w:tcW w:w="2200" w:type="dxa"/>
            <w:vAlign w:val="bottom"/>
          </w:tcPr>
          <w:p>
            <w:pPr>
              <w:ind w:left="560"/>
              <w:spacing w:after="0" w:line="196" w:lineRule="exact"/>
              <w:rPr>
                <w:sz w:val="20"/>
                <w:szCs w:val="20"/>
                <w:color w:val="auto"/>
              </w:rPr>
            </w:pPr>
            <w:r>
              <w:rPr>
                <w:rFonts w:ascii="Arial" w:cs="Arial" w:eastAsia="Arial" w:hAnsi="Arial"/>
                <w:sz w:val="18"/>
                <w:szCs w:val="18"/>
                <w:color w:val="auto"/>
              </w:rPr>
              <w:t>*</w:t>
            </w:r>
          </w:p>
        </w:tc>
      </w:tr>
      <w:tr>
        <w:trPr>
          <w:trHeight w:val="196"/>
        </w:trPr>
        <w:tc>
          <w:tcPr>
            <w:tcW w:w="740" w:type="dxa"/>
            <w:vAlign w:val="bottom"/>
          </w:tcPr>
          <w:p>
            <w:pPr>
              <w:spacing w:after="0" w:line="196" w:lineRule="exact"/>
              <w:rPr>
                <w:sz w:val="20"/>
                <w:szCs w:val="20"/>
                <w:color w:val="auto"/>
              </w:rPr>
            </w:pPr>
            <w:r>
              <w:rPr>
                <w:rFonts w:ascii="Arial" w:cs="Arial" w:eastAsia="Arial" w:hAnsi="Arial"/>
                <w:sz w:val="18"/>
                <w:szCs w:val="18"/>
                <w:color w:val="auto"/>
              </w:rPr>
              <w:t>31.2</w:t>
            </w:r>
          </w:p>
        </w:tc>
        <w:tc>
          <w:tcPr>
            <w:tcW w:w="6100" w:type="dxa"/>
            <w:vAlign w:val="bottom"/>
            <w:tcBorders>
              <w:top w:val="single" w:sz="8" w:color="0000EE"/>
              <w:bottom w:val="single" w:sz="8" w:color="0000EE"/>
            </w:tcBorders>
            <w:gridSpan w:val="2"/>
          </w:tcPr>
          <w:p>
            <w:pPr>
              <w:spacing w:after="0" w:line="196" w:lineRule="exact"/>
              <w:rPr>
                <w:sz w:val="20"/>
                <w:szCs w:val="20"/>
                <w:color w:val="auto"/>
              </w:rPr>
            </w:pPr>
            <w:r>
              <w:rPr>
                <w:rFonts w:ascii="Arial" w:cs="Arial" w:eastAsia="Arial" w:hAnsi="Arial"/>
                <w:sz w:val="18"/>
                <w:szCs w:val="18"/>
                <w:color w:val="0000EE"/>
                <w:w w:val="92"/>
              </w:rPr>
              <w:t>Rule 13a-14(a)/15d-14(a) Certification of the Chief Financial Officer of Nocera, Inc.</w:t>
            </w:r>
          </w:p>
        </w:tc>
        <w:tc>
          <w:tcPr>
            <w:tcW w:w="1060" w:type="dxa"/>
            <w:vAlign w:val="bottom"/>
            <w:tcBorders>
              <w:top w:val="single" w:sz="8" w:color="0000EE"/>
            </w:tcBorders>
            <w:gridSpan w:val="2"/>
          </w:tcPr>
          <w:p>
            <w:pPr>
              <w:spacing w:after="0"/>
              <w:rPr>
                <w:sz w:val="17"/>
                <w:szCs w:val="17"/>
                <w:color w:val="auto"/>
              </w:rPr>
            </w:pPr>
          </w:p>
        </w:tc>
        <w:tc>
          <w:tcPr>
            <w:tcW w:w="940" w:type="dxa"/>
            <w:vAlign w:val="bottom"/>
            <w:gridSpan w:val="2"/>
          </w:tcPr>
          <w:p>
            <w:pPr>
              <w:spacing w:after="0"/>
              <w:rPr>
                <w:sz w:val="17"/>
                <w:szCs w:val="17"/>
                <w:color w:val="auto"/>
              </w:rPr>
            </w:pPr>
          </w:p>
        </w:tc>
        <w:tc>
          <w:tcPr>
            <w:tcW w:w="2200" w:type="dxa"/>
            <w:vAlign w:val="bottom"/>
          </w:tcPr>
          <w:p>
            <w:pPr>
              <w:ind w:left="560"/>
              <w:spacing w:after="0" w:line="196" w:lineRule="exact"/>
              <w:rPr>
                <w:sz w:val="20"/>
                <w:szCs w:val="20"/>
                <w:color w:val="auto"/>
              </w:rPr>
            </w:pPr>
            <w:r>
              <w:rPr>
                <w:rFonts w:ascii="Arial" w:cs="Arial" w:eastAsia="Arial" w:hAnsi="Arial"/>
                <w:sz w:val="18"/>
                <w:szCs w:val="18"/>
                <w:color w:val="auto"/>
              </w:rPr>
              <w:t>*</w:t>
            </w:r>
          </w:p>
        </w:tc>
      </w:tr>
      <w:tr>
        <w:trPr>
          <w:trHeight w:val="196"/>
        </w:trPr>
        <w:tc>
          <w:tcPr>
            <w:tcW w:w="740" w:type="dxa"/>
            <w:vAlign w:val="bottom"/>
          </w:tcPr>
          <w:p>
            <w:pPr>
              <w:spacing w:after="0" w:line="196" w:lineRule="exact"/>
              <w:rPr>
                <w:sz w:val="20"/>
                <w:szCs w:val="20"/>
                <w:color w:val="auto"/>
              </w:rPr>
            </w:pPr>
            <w:r>
              <w:rPr>
                <w:rFonts w:ascii="Arial" w:cs="Arial" w:eastAsia="Arial" w:hAnsi="Arial"/>
                <w:sz w:val="18"/>
                <w:szCs w:val="18"/>
                <w:color w:val="auto"/>
              </w:rPr>
              <w:t>32.1</w:t>
            </w:r>
          </w:p>
        </w:tc>
        <w:tc>
          <w:tcPr>
            <w:tcW w:w="8100" w:type="dxa"/>
            <w:vAlign w:val="bottom"/>
            <w:gridSpan w:val="6"/>
          </w:tcPr>
          <w:p>
            <w:pPr>
              <w:spacing w:after="0" w:line="196" w:lineRule="exact"/>
              <w:rPr>
                <w:sz w:val="20"/>
                <w:szCs w:val="20"/>
                <w:color w:val="auto"/>
              </w:rPr>
            </w:pPr>
            <w:r>
              <w:rPr>
                <w:rFonts w:ascii="Arial" w:cs="Arial" w:eastAsia="Arial" w:hAnsi="Arial"/>
                <w:sz w:val="18"/>
                <w:szCs w:val="18"/>
                <w:color w:val="0000EE"/>
              </w:rPr>
              <w:t>Section 1350 Certification of the President and Chief Executive Officer of Nocera, Inc.</w:t>
            </w:r>
          </w:p>
        </w:tc>
        <w:tc>
          <w:tcPr>
            <w:tcW w:w="2200" w:type="dxa"/>
            <w:vAlign w:val="bottom"/>
          </w:tcPr>
          <w:p>
            <w:pPr>
              <w:ind w:left="560"/>
              <w:spacing w:after="0" w:line="196" w:lineRule="exact"/>
              <w:rPr>
                <w:sz w:val="20"/>
                <w:szCs w:val="20"/>
                <w:color w:val="auto"/>
              </w:rPr>
            </w:pPr>
            <w:r>
              <w:rPr>
                <w:rFonts w:ascii="Arial" w:cs="Arial" w:eastAsia="Arial" w:hAnsi="Arial"/>
                <w:sz w:val="18"/>
                <w:szCs w:val="18"/>
                <w:color w:val="auto"/>
              </w:rPr>
              <w:t>**</w:t>
            </w:r>
          </w:p>
        </w:tc>
      </w:tr>
      <w:tr>
        <w:trPr>
          <w:trHeight w:val="196"/>
        </w:trPr>
        <w:tc>
          <w:tcPr>
            <w:tcW w:w="740" w:type="dxa"/>
            <w:vAlign w:val="bottom"/>
          </w:tcPr>
          <w:p>
            <w:pPr>
              <w:spacing w:after="0" w:line="196" w:lineRule="exact"/>
              <w:rPr>
                <w:sz w:val="20"/>
                <w:szCs w:val="20"/>
                <w:color w:val="auto"/>
              </w:rPr>
            </w:pPr>
            <w:r>
              <w:rPr>
                <w:rFonts w:ascii="Arial" w:cs="Arial" w:eastAsia="Arial" w:hAnsi="Arial"/>
                <w:sz w:val="18"/>
                <w:szCs w:val="18"/>
                <w:color w:val="auto"/>
              </w:rPr>
              <w:t>32.2</w:t>
            </w:r>
          </w:p>
        </w:tc>
        <w:tc>
          <w:tcPr>
            <w:tcW w:w="5200" w:type="dxa"/>
            <w:vAlign w:val="bottom"/>
            <w:tcBorders>
              <w:top w:val="single" w:sz="8" w:color="0000EE"/>
              <w:bottom w:val="single" w:sz="8" w:color="0000EE"/>
            </w:tcBorders>
          </w:tcPr>
          <w:p>
            <w:pPr>
              <w:spacing w:after="0" w:line="196" w:lineRule="exact"/>
              <w:rPr>
                <w:sz w:val="20"/>
                <w:szCs w:val="20"/>
                <w:color w:val="auto"/>
              </w:rPr>
            </w:pPr>
            <w:r>
              <w:rPr>
                <w:rFonts w:ascii="Arial" w:cs="Arial" w:eastAsia="Arial" w:hAnsi="Arial"/>
                <w:sz w:val="18"/>
                <w:szCs w:val="18"/>
                <w:color w:val="0000EE"/>
                <w:w w:val="92"/>
              </w:rPr>
              <w:t>Section 1350 Certification of the Chief Financial Officer of Nocera, Inc.</w:t>
            </w:r>
          </w:p>
        </w:tc>
        <w:tc>
          <w:tcPr>
            <w:tcW w:w="1060" w:type="dxa"/>
            <w:vAlign w:val="bottom"/>
            <w:tcBorders>
              <w:top w:val="single" w:sz="8" w:color="0000EE"/>
            </w:tcBorders>
            <w:gridSpan w:val="2"/>
          </w:tcPr>
          <w:p>
            <w:pPr>
              <w:spacing w:after="0"/>
              <w:rPr>
                <w:sz w:val="17"/>
                <w:szCs w:val="17"/>
                <w:color w:val="auto"/>
              </w:rPr>
            </w:pPr>
          </w:p>
        </w:tc>
        <w:tc>
          <w:tcPr>
            <w:tcW w:w="1840" w:type="dxa"/>
            <w:vAlign w:val="bottom"/>
            <w:gridSpan w:val="3"/>
          </w:tcPr>
          <w:p>
            <w:pPr>
              <w:spacing w:after="0"/>
              <w:rPr>
                <w:sz w:val="17"/>
                <w:szCs w:val="17"/>
                <w:color w:val="auto"/>
              </w:rPr>
            </w:pPr>
          </w:p>
        </w:tc>
        <w:tc>
          <w:tcPr>
            <w:tcW w:w="2200" w:type="dxa"/>
            <w:vAlign w:val="bottom"/>
          </w:tcPr>
          <w:p>
            <w:pPr>
              <w:ind w:left="560"/>
              <w:spacing w:after="0" w:line="196" w:lineRule="exact"/>
              <w:rPr>
                <w:sz w:val="20"/>
                <w:szCs w:val="20"/>
                <w:color w:val="auto"/>
              </w:rPr>
            </w:pPr>
            <w:r>
              <w:rPr>
                <w:rFonts w:ascii="Arial" w:cs="Arial" w:eastAsia="Arial" w:hAnsi="Arial"/>
                <w:sz w:val="18"/>
                <w:szCs w:val="18"/>
                <w:color w:val="auto"/>
              </w:rPr>
              <w:t>**</w:t>
            </w:r>
          </w:p>
        </w:tc>
      </w:tr>
      <w:tr>
        <w:trPr>
          <w:trHeight w:val="222"/>
        </w:trPr>
        <w:tc>
          <w:tcPr>
            <w:tcW w:w="740" w:type="dxa"/>
            <w:vAlign w:val="bottom"/>
          </w:tcPr>
          <w:p>
            <w:pPr>
              <w:spacing w:after="0"/>
              <w:rPr>
                <w:sz w:val="20"/>
                <w:szCs w:val="20"/>
                <w:color w:val="auto"/>
              </w:rPr>
            </w:pPr>
            <w:r>
              <w:rPr>
                <w:rFonts w:ascii="Arial" w:cs="Arial" w:eastAsia="Arial" w:hAnsi="Arial"/>
                <w:sz w:val="18"/>
                <w:szCs w:val="18"/>
                <w:color w:val="auto"/>
              </w:rPr>
              <w:t>101.INS</w:t>
            </w:r>
          </w:p>
        </w:tc>
        <w:tc>
          <w:tcPr>
            <w:tcW w:w="10300" w:type="dxa"/>
            <w:vAlign w:val="bottom"/>
            <w:gridSpan w:val="7"/>
          </w:tcPr>
          <w:p>
            <w:pPr>
              <w:spacing w:after="0"/>
              <w:rPr>
                <w:sz w:val="20"/>
                <w:szCs w:val="20"/>
                <w:color w:val="auto"/>
              </w:rPr>
            </w:pPr>
            <w:r>
              <w:rPr>
                <w:rFonts w:ascii="Arial" w:cs="Arial" w:eastAsia="Arial" w:hAnsi="Arial"/>
                <w:sz w:val="18"/>
                <w:szCs w:val="18"/>
                <w:color w:val="auto"/>
              </w:rPr>
              <w:t>Inline XBRL Instance Document (the instance document does not appear in the Interactive Data File because its XBRL *</w:t>
            </w:r>
          </w:p>
        </w:tc>
      </w:tr>
      <w:tr>
        <w:trPr>
          <w:trHeight w:val="216"/>
        </w:trPr>
        <w:tc>
          <w:tcPr>
            <w:tcW w:w="740" w:type="dxa"/>
            <w:vAlign w:val="bottom"/>
          </w:tcPr>
          <w:p>
            <w:pPr>
              <w:spacing w:after="0"/>
              <w:rPr>
                <w:sz w:val="18"/>
                <w:szCs w:val="18"/>
                <w:color w:val="auto"/>
              </w:rPr>
            </w:pPr>
          </w:p>
        </w:tc>
        <w:tc>
          <w:tcPr>
            <w:tcW w:w="8100" w:type="dxa"/>
            <w:vAlign w:val="bottom"/>
            <w:gridSpan w:val="6"/>
          </w:tcPr>
          <w:p>
            <w:pPr>
              <w:spacing w:after="0"/>
              <w:rPr>
                <w:sz w:val="20"/>
                <w:szCs w:val="20"/>
                <w:color w:val="auto"/>
              </w:rPr>
            </w:pPr>
            <w:r>
              <w:rPr>
                <w:rFonts w:ascii="Arial" w:cs="Arial" w:eastAsia="Arial" w:hAnsi="Arial"/>
                <w:sz w:val="18"/>
                <w:szCs w:val="18"/>
                <w:color w:val="auto"/>
              </w:rPr>
              <w:t>tags are embedded within the Inline XBRL document)</w:t>
            </w:r>
          </w:p>
        </w:tc>
        <w:tc>
          <w:tcPr>
            <w:tcW w:w="2200" w:type="dxa"/>
            <w:vAlign w:val="bottom"/>
          </w:tcPr>
          <w:p>
            <w:pPr>
              <w:spacing w:after="0"/>
              <w:rPr>
                <w:sz w:val="18"/>
                <w:szCs w:val="18"/>
                <w:color w:val="auto"/>
              </w:rPr>
            </w:pPr>
          </w:p>
        </w:tc>
      </w:tr>
      <w:tr>
        <w:trPr>
          <w:trHeight w:val="216"/>
        </w:trPr>
        <w:tc>
          <w:tcPr>
            <w:tcW w:w="8840" w:type="dxa"/>
            <w:vAlign w:val="bottom"/>
            <w:gridSpan w:val="7"/>
          </w:tcPr>
          <w:p>
            <w:pPr>
              <w:spacing w:after="0"/>
              <w:rPr>
                <w:sz w:val="20"/>
                <w:szCs w:val="20"/>
                <w:color w:val="auto"/>
              </w:rPr>
            </w:pPr>
            <w:r>
              <w:rPr>
                <w:rFonts w:ascii="Arial" w:cs="Arial" w:eastAsia="Arial" w:hAnsi="Arial"/>
                <w:sz w:val="18"/>
                <w:szCs w:val="18"/>
                <w:color w:val="auto"/>
              </w:rPr>
              <w:t>101.SCH Inline XBRL Taxonomy Extension Schema Document</w:t>
            </w:r>
          </w:p>
        </w:tc>
        <w:tc>
          <w:tcPr>
            <w:tcW w:w="2200" w:type="dxa"/>
            <w:vAlign w:val="bottom"/>
          </w:tcPr>
          <w:p>
            <w:pPr>
              <w:ind w:left="560"/>
              <w:spacing w:after="0"/>
              <w:rPr>
                <w:sz w:val="20"/>
                <w:szCs w:val="20"/>
                <w:color w:val="auto"/>
              </w:rPr>
            </w:pPr>
            <w:r>
              <w:rPr>
                <w:rFonts w:ascii="Arial" w:cs="Arial" w:eastAsia="Arial" w:hAnsi="Arial"/>
                <w:sz w:val="18"/>
                <w:szCs w:val="18"/>
                <w:color w:val="auto"/>
              </w:rPr>
              <w:t>*</w:t>
            </w:r>
          </w:p>
        </w:tc>
      </w:tr>
      <w:tr>
        <w:trPr>
          <w:trHeight w:val="216"/>
        </w:trPr>
        <w:tc>
          <w:tcPr>
            <w:tcW w:w="8840" w:type="dxa"/>
            <w:vAlign w:val="bottom"/>
            <w:gridSpan w:val="7"/>
          </w:tcPr>
          <w:p>
            <w:pPr>
              <w:spacing w:after="0"/>
              <w:rPr>
                <w:sz w:val="20"/>
                <w:szCs w:val="20"/>
                <w:color w:val="auto"/>
              </w:rPr>
            </w:pPr>
            <w:r>
              <w:rPr>
                <w:rFonts w:ascii="Arial" w:cs="Arial" w:eastAsia="Arial" w:hAnsi="Arial"/>
                <w:sz w:val="18"/>
                <w:szCs w:val="18"/>
                <w:color w:val="auto"/>
              </w:rPr>
              <w:t>101.CAL Inline XBRL Taxonomy Extension Calculation Linkbase Document</w:t>
            </w:r>
          </w:p>
        </w:tc>
        <w:tc>
          <w:tcPr>
            <w:tcW w:w="2200" w:type="dxa"/>
            <w:vAlign w:val="bottom"/>
          </w:tcPr>
          <w:p>
            <w:pPr>
              <w:ind w:left="560"/>
              <w:spacing w:after="0"/>
              <w:rPr>
                <w:sz w:val="20"/>
                <w:szCs w:val="20"/>
                <w:color w:val="auto"/>
              </w:rPr>
            </w:pPr>
            <w:r>
              <w:rPr>
                <w:rFonts w:ascii="Arial" w:cs="Arial" w:eastAsia="Arial" w:hAnsi="Arial"/>
                <w:sz w:val="18"/>
                <w:szCs w:val="18"/>
                <w:color w:val="auto"/>
              </w:rPr>
              <w:t>*</w:t>
            </w:r>
          </w:p>
        </w:tc>
      </w:tr>
      <w:tr>
        <w:trPr>
          <w:trHeight w:val="216"/>
        </w:trPr>
        <w:tc>
          <w:tcPr>
            <w:tcW w:w="8840" w:type="dxa"/>
            <w:vAlign w:val="bottom"/>
            <w:gridSpan w:val="7"/>
          </w:tcPr>
          <w:p>
            <w:pPr>
              <w:spacing w:after="0"/>
              <w:rPr>
                <w:sz w:val="20"/>
                <w:szCs w:val="20"/>
                <w:color w:val="auto"/>
              </w:rPr>
            </w:pPr>
            <w:r>
              <w:rPr>
                <w:rFonts w:ascii="Arial" w:cs="Arial" w:eastAsia="Arial" w:hAnsi="Arial"/>
                <w:sz w:val="18"/>
                <w:szCs w:val="18"/>
                <w:color w:val="auto"/>
              </w:rPr>
              <w:t>101.DEF Inline XBRL Taxonomy Extension Definition Linkbase Document</w:t>
            </w:r>
          </w:p>
        </w:tc>
        <w:tc>
          <w:tcPr>
            <w:tcW w:w="2200" w:type="dxa"/>
            <w:vAlign w:val="bottom"/>
          </w:tcPr>
          <w:p>
            <w:pPr>
              <w:ind w:left="560"/>
              <w:spacing w:after="0"/>
              <w:rPr>
                <w:sz w:val="20"/>
                <w:szCs w:val="20"/>
                <w:color w:val="auto"/>
              </w:rPr>
            </w:pPr>
            <w:r>
              <w:rPr>
                <w:rFonts w:ascii="Arial" w:cs="Arial" w:eastAsia="Arial" w:hAnsi="Arial"/>
                <w:sz w:val="18"/>
                <w:szCs w:val="18"/>
                <w:color w:val="auto"/>
              </w:rPr>
              <w:t>*</w:t>
            </w:r>
          </w:p>
        </w:tc>
      </w:tr>
      <w:tr>
        <w:trPr>
          <w:trHeight w:val="216"/>
        </w:trPr>
        <w:tc>
          <w:tcPr>
            <w:tcW w:w="8840" w:type="dxa"/>
            <w:vAlign w:val="bottom"/>
            <w:gridSpan w:val="7"/>
          </w:tcPr>
          <w:p>
            <w:pPr>
              <w:spacing w:after="0"/>
              <w:rPr>
                <w:sz w:val="20"/>
                <w:szCs w:val="20"/>
                <w:color w:val="auto"/>
              </w:rPr>
            </w:pPr>
            <w:r>
              <w:rPr>
                <w:rFonts w:ascii="Arial" w:cs="Arial" w:eastAsia="Arial" w:hAnsi="Arial"/>
                <w:sz w:val="18"/>
                <w:szCs w:val="18"/>
                <w:color w:val="auto"/>
              </w:rPr>
              <w:t>101.LAB Inline XBRL Taxonomy Extension Label Linkbase Document</w:t>
            </w:r>
          </w:p>
        </w:tc>
        <w:tc>
          <w:tcPr>
            <w:tcW w:w="2200" w:type="dxa"/>
            <w:vAlign w:val="bottom"/>
          </w:tcPr>
          <w:p>
            <w:pPr>
              <w:ind w:left="560"/>
              <w:spacing w:after="0"/>
              <w:rPr>
                <w:sz w:val="20"/>
                <w:szCs w:val="20"/>
                <w:color w:val="auto"/>
              </w:rPr>
            </w:pPr>
            <w:r>
              <w:rPr>
                <w:rFonts w:ascii="Arial" w:cs="Arial" w:eastAsia="Arial" w:hAnsi="Arial"/>
                <w:sz w:val="18"/>
                <w:szCs w:val="18"/>
                <w:color w:val="auto"/>
              </w:rPr>
              <w:t>*</w:t>
            </w:r>
          </w:p>
        </w:tc>
      </w:tr>
      <w:tr>
        <w:trPr>
          <w:trHeight w:val="216"/>
        </w:trPr>
        <w:tc>
          <w:tcPr>
            <w:tcW w:w="8840" w:type="dxa"/>
            <w:vAlign w:val="bottom"/>
            <w:gridSpan w:val="7"/>
          </w:tcPr>
          <w:p>
            <w:pPr>
              <w:spacing w:after="0"/>
              <w:rPr>
                <w:sz w:val="20"/>
                <w:szCs w:val="20"/>
                <w:color w:val="auto"/>
              </w:rPr>
            </w:pPr>
            <w:r>
              <w:rPr>
                <w:rFonts w:ascii="Arial" w:cs="Arial" w:eastAsia="Arial" w:hAnsi="Arial"/>
                <w:sz w:val="18"/>
                <w:szCs w:val="18"/>
                <w:color w:val="auto"/>
              </w:rPr>
              <w:t>101.PRE Inline XBRL Taxonomy Extension Presentation Linkbase Document</w:t>
            </w:r>
          </w:p>
        </w:tc>
        <w:tc>
          <w:tcPr>
            <w:tcW w:w="2200" w:type="dxa"/>
            <w:vAlign w:val="bottom"/>
          </w:tcPr>
          <w:p>
            <w:pPr>
              <w:ind w:left="560"/>
              <w:spacing w:after="0"/>
              <w:rPr>
                <w:sz w:val="20"/>
                <w:szCs w:val="20"/>
                <w:color w:val="auto"/>
              </w:rPr>
            </w:pPr>
            <w:r>
              <w:rPr>
                <w:rFonts w:ascii="Arial" w:cs="Arial" w:eastAsia="Arial" w:hAnsi="Arial"/>
                <w:sz w:val="18"/>
                <w:szCs w:val="18"/>
                <w:color w:val="auto"/>
              </w:rPr>
              <w:t>*</w:t>
            </w:r>
          </w:p>
        </w:tc>
      </w:tr>
      <w:tr>
        <w:trPr>
          <w:trHeight w:val="230"/>
        </w:trPr>
        <w:tc>
          <w:tcPr>
            <w:tcW w:w="740" w:type="dxa"/>
            <w:vAlign w:val="bottom"/>
          </w:tcPr>
          <w:p>
            <w:pPr>
              <w:spacing w:after="0"/>
              <w:rPr>
                <w:sz w:val="20"/>
                <w:szCs w:val="20"/>
                <w:color w:val="auto"/>
              </w:rPr>
            </w:pPr>
            <w:r>
              <w:rPr>
                <w:rFonts w:ascii="Arial" w:cs="Arial" w:eastAsia="Arial" w:hAnsi="Arial"/>
                <w:sz w:val="18"/>
                <w:szCs w:val="18"/>
                <w:color w:val="auto"/>
              </w:rPr>
              <w:t>104</w:t>
            </w:r>
          </w:p>
        </w:tc>
        <w:tc>
          <w:tcPr>
            <w:tcW w:w="8100" w:type="dxa"/>
            <w:vAlign w:val="bottom"/>
            <w:gridSpan w:val="6"/>
          </w:tcPr>
          <w:p>
            <w:pPr>
              <w:spacing w:after="0"/>
              <w:rPr>
                <w:sz w:val="20"/>
                <w:szCs w:val="20"/>
                <w:color w:val="auto"/>
              </w:rPr>
            </w:pPr>
            <w:r>
              <w:rPr>
                <w:rFonts w:ascii="Arial" w:cs="Arial" w:eastAsia="Arial" w:hAnsi="Arial"/>
                <w:sz w:val="18"/>
                <w:szCs w:val="18"/>
                <w:color w:val="auto"/>
              </w:rPr>
              <w:t>Cover Page Interactive Data File (formatted as Inline XBRL and contained in Exhibit 101).</w:t>
            </w:r>
          </w:p>
        </w:tc>
        <w:tc>
          <w:tcPr>
            <w:tcW w:w="2200" w:type="dxa"/>
            <w:vAlign w:val="bottom"/>
          </w:tcPr>
          <w:p>
            <w:pPr>
              <w:ind w:left="560"/>
              <w:spacing w:after="0"/>
              <w:rPr>
                <w:sz w:val="20"/>
                <w:szCs w:val="20"/>
                <w:color w:val="auto"/>
              </w:rPr>
            </w:pPr>
            <w:r>
              <w:rPr>
                <w:rFonts w:ascii="Arial" w:cs="Arial" w:eastAsia="Arial" w:hAnsi="Arial"/>
                <w:sz w:val="18"/>
                <w:szCs w:val="18"/>
                <w:color w:val="auto"/>
              </w:rPr>
              <w:t>*</w:t>
            </w:r>
          </w:p>
        </w:tc>
      </w:tr>
    </w:tbl>
    <w:p>
      <w:pPr>
        <w:spacing w:after="0"/>
        <w:rPr>
          <w:sz w:val="20"/>
          <w:szCs w:val="20"/>
          <w:color w:val="auto"/>
        </w:rPr>
      </w:pPr>
      <w:r>
        <w:rPr>
          <w:rFonts w:ascii="Arial" w:cs="Arial" w:eastAsia="Arial" w:hAnsi="Arial"/>
          <w:sz w:val="18"/>
          <w:szCs w:val="18"/>
          <w:color w:val="auto"/>
        </w:rPr>
        <w:t>___________________________</w:t>
      </w:r>
    </w:p>
    <w:p>
      <w:pPr>
        <w:spacing w:after="0" w:line="9" w:lineRule="exact"/>
        <w:rPr>
          <w:sz w:val="20"/>
          <w:szCs w:val="20"/>
          <w:color w:val="auto"/>
        </w:rPr>
      </w:pPr>
    </w:p>
    <w:p>
      <w:pPr>
        <w:ind w:right="2160" w:firstLine="8"/>
        <w:spacing w:after="0" w:line="250" w:lineRule="auto"/>
        <w:tabs>
          <w:tab w:leader="none" w:pos="364"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Incorporated by reference to the Company’s Current Report on Form 8-K (File No. 001-41434), filed on August 4, 2023. * Filed herewith.</w:t>
      </w:r>
    </w:p>
    <w:p>
      <w:pPr>
        <w:ind w:left="380" w:hanging="364"/>
        <w:spacing w:after="0" w:line="277" w:lineRule="auto"/>
        <w:rPr>
          <w:rFonts w:ascii="Arial" w:cs="Arial" w:eastAsia="Arial" w:hAnsi="Arial"/>
          <w:sz w:val="18"/>
          <w:szCs w:val="18"/>
          <w:color w:val="auto"/>
        </w:rPr>
      </w:pPr>
      <w:r>
        <w:rPr>
          <w:rFonts w:ascii="Arial" w:cs="Arial" w:eastAsia="Arial" w:hAnsi="Arial"/>
          <w:sz w:val="17"/>
          <w:szCs w:val="17"/>
          <w:color w:val="auto"/>
        </w:rPr>
        <w:t>** Exhibits 32.1 and 32.2 are being furnished and shall not be deemed to be “filed” for purposes of Section 18 of the Exchange Act, or otherwise subject to the liability of that section, nor shall such exhibits be deemed to be incorporated by reference in any registration statement or other document filed under the Securities Act of 1933, as amended, or the Exchange Act, except as otherwise specifically stated in such filing.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9" w:name="page50"/>
    <w:bookmarkEnd w:id="49"/>
    <w:p>
      <w:pPr>
        <w:ind w:left="50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60" w:type="dxa"/>
            <w:vAlign w:val="bottom"/>
          </w:tcPr>
          <w:p>
            <w:pPr>
              <w:spacing w:after="0"/>
              <w:rPr>
                <w:sz w:val="20"/>
                <w:szCs w:val="20"/>
                <w:color w:val="auto"/>
              </w:rPr>
            </w:pPr>
          </w:p>
        </w:tc>
        <w:tc>
          <w:tcPr>
            <w:tcW w:w="5240" w:type="dxa"/>
            <w:vAlign w:val="bottom"/>
            <w:gridSpan w:val="2"/>
          </w:tcPr>
          <w:p>
            <w:pPr>
              <w:ind w:left="1880"/>
              <w:spacing w:after="0"/>
              <w:rPr>
                <w:sz w:val="20"/>
                <w:szCs w:val="20"/>
                <w:color w:val="auto"/>
              </w:rPr>
            </w:pPr>
            <w:r>
              <w:rPr>
                <w:rFonts w:ascii="Arial" w:cs="Arial" w:eastAsia="Arial" w:hAnsi="Arial"/>
                <w:sz w:val="18"/>
                <w:szCs w:val="18"/>
                <w:b w:val="1"/>
                <w:bCs w:val="1"/>
                <w:color w:val="auto"/>
              </w:rPr>
              <w:t>NOCERA, INC.</w:t>
            </w:r>
          </w:p>
        </w:tc>
        <w:tc>
          <w:tcPr>
            <w:tcW w:w="40" w:type="dxa"/>
            <w:vAlign w:val="bottom"/>
          </w:tcPr>
          <w:p>
            <w:pPr>
              <w:spacing w:after="0"/>
              <w:rPr>
                <w:sz w:val="20"/>
                <w:szCs w:val="20"/>
                <w:color w:val="auto"/>
              </w:rPr>
            </w:pPr>
          </w:p>
        </w:tc>
      </w:tr>
      <w:tr>
        <w:trPr>
          <w:trHeight w:val="391"/>
        </w:trPr>
        <w:tc>
          <w:tcPr>
            <w:tcW w:w="3760" w:type="dxa"/>
            <w:vAlign w:val="bottom"/>
          </w:tcPr>
          <w:p>
            <w:pPr>
              <w:spacing w:after="0"/>
              <w:rPr>
                <w:sz w:val="20"/>
                <w:szCs w:val="20"/>
                <w:color w:val="auto"/>
              </w:rPr>
            </w:pPr>
            <w:r>
              <w:rPr>
                <w:rFonts w:ascii="Arial" w:cs="Arial" w:eastAsia="Arial" w:hAnsi="Arial"/>
                <w:sz w:val="18"/>
                <w:szCs w:val="18"/>
                <w:color w:val="auto"/>
              </w:rPr>
              <w:t>Date: November 14, 2023</w:t>
            </w:r>
          </w:p>
        </w:tc>
        <w:tc>
          <w:tcPr>
            <w:tcW w:w="2440" w:type="dxa"/>
            <w:vAlign w:val="bottom"/>
          </w:tcPr>
          <w:p>
            <w:pPr>
              <w:ind w:left="1880"/>
              <w:spacing w:after="0"/>
              <w:rPr>
                <w:sz w:val="20"/>
                <w:szCs w:val="20"/>
                <w:color w:val="auto"/>
              </w:rPr>
            </w:pPr>
            <w:r>
              <w:rPr>
                <w:rFonts w:ascii="Arial" w:cs="Arial" w:eastAsia="Arial" w:hAnsi="Arial"/>
                <w:sz w:val="18"/>
                <w:szCs w:val="18"/>
                <w:color w:val="auto"/>
              </w:rPr>
              <w:t>By:</w:t>
            </w:r>
          </w:p>
        </w:tc>
        <w:tc>
          <w:tcPr>
            <w:tcW w:w="280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Andy Chin-An Jin</w:t>
            </w:r>
          </w:p>
        </w:tc>
        <w:tc>
          <w:tcPr>
            <w:tcW w:w="40" w:type="dxa"/>
            <w:vAlign w:val="bottom"/>
          </w:tcPr>
          <w:p>
            <w:pPr>
              <w:spacing w:after="0"/>
              <w:rPr>
                <w:sz w:val="24"/>
                <w:szCs w:val="24"/>
                <w:color w:val="auto"/>
              </w:rPr>
            </w:pPr>
          </w:p>
        </w:tc>
      </w:tr>
      <w:tr>
        <w:trPr>
          <w:trHeight w:val="222"/>
        </w:trPr>
        <w:tc>
          <w:tcPr>
            <w:tcW w:w="3760" w:type="dxa"/>
            <w:vAlign w:val="bottom"/>
          </w:tcPr>
          <w:p>
            <w:pPr>
              <w:spacing w:after="0"/>
              <w:rPr>
                <w:sz w:val="19"/>
                <w:szCs w:val="19"/>
                <w:color w:val="auto"/>
              </w:rPr>
            </w:pPr>
          </w:p>
        </w:tc>
        <w:tc>
          <w:tcPr>
            <w:tcW w:w="2440" w:type="dxa"/>
            <w:vAlign w:val="bottom"/>
          </w:tcPr>
          <w:p>
            <w:pPr>
              <w:ind w:left="1880"/>
              <w:spacing w:after="0"/>
              <w:rPr>
                <w:sz w:val="20"/>
                <w:szCs w:val="20"/>
                <w:color w:val="auto"/>
              </w:rPr>
            </w:pPr>
            <w:r>
              <w:rPr>
                <w:rFonts w:ascii="Arial" w:cs="Arial" w:eastAsia="Arial" w:hAnsi="Arial"/>
                <w:sz w:val="18"/>
                <w:szCs w:val="18"/>
                <w:color w:val="auto"/>
              </w:rPr>
              <w:t>Name:</w:t>
            </w:r>
          </w:p>
        </w:tc>
        <w:tc>
          <w:tcPr>
            <w:tcW w:w="2800" w:type="dxa"/>
            <w:vAlign w:val="bottom"/>
          </w:tcPr>
          <w:p>
            <w:pPr>
              <w:spacing w:after="0"/>
              <w:rPr>
                <w:sz w:val="20"/>
                <w:szCs w:val="20"/>
                <w:color w:val="auto"/>
              </w:rPr>
            </w:pPr>
            <w:r>
              <w:rPr>
                <w:rFonts w:ascii="Arial" w:cs="Arial" w:eastAsia="Arial" w:hAnsi="Arial"/>
                <w:sz w:val="18"/>
                <w:szCs w:val="18"/>
                <w:color w:val="auto"/>
              </w:rPr>
              <w:t>Andy Ching-An Jin</w:t>
            </w:r>
          </w:p>
        </w:tc>
        <w:tc>
          <w:tcPr>
            <w:tcW w:w="40" w:type="dxa"/>
            <w:vAlign w:val="bottom"/>
          </w:tcPr>
          <w:p>
            <w:pPr>
              <w:spacing w:after="0"/>
              <w:rPr>
                <w:sz w:val="19"/>
                <w:szCs w:val="19"/>
                <w:color w:val="auto"/>
              </w:rPr>
            </w:pPr>
          </w:p>
        </w:tc>
      </w:tr>
      <w:tr>
        <w:trPr>
          <w:trHeight w:val="216"/>
        </w:trPr>
        <w:tc>
          <w:tcPr>
            <w:tcW w:w="3760" w:type="dxa"/>
            <w:vAlign w:val="bottom"/>
          </w:tcPr>
          <w:p>
            <w:pPr>
              <w:spacing w:after="0"/>
              <w:rPr>
                <w:sz w:val="18"/>
                <w:szCs w:val="18"/>
                <w:color w:val="auto"/>
              </w:rPr>
            </w:pPr>
          </w:p>
        </w:tc>
        <w:tc>
          <w:tcPr>
            <w:tcW w:w="2440" w:type="dxa"/>
            <w:vAlign w:val="bottom"/>
          </w:tcPr>
          <w:p>
            <w:pPr>
              <w:ind w:left="1880"/>
              <w:spacing w:after="0"/>
              <w:rPr>
                <w:sz w:val="20"/>
                <w:szCs w:val="20"/>
                <w:color w:val="auto"/>
              </w:rPr>
            </w:pPr>
            <w:r>
              <w:rPr>
                <w:rFonts w:ascii="Arial" w:cs="Arial" w:eastAsia="Arial" w:hAnsi="Arial"/>
                <w:sz w:val="18"/>
                <w:szCs w:val="18"/>
                <w:color w:val="auto"/>
              </w:rPr>
              <w:t>Title:</w:t>
            </w:r>
          </w:p>
        </w:tc>
        <w:tc>
          <w:tcPr>
            <w:tcW w:w="2800" w:type="dxa"/>
            <w:vAlign w:val="bottom"/>
          </w:tcPr>
          <w:p>
            <w:pPr>
              <w:spacing w:after="0"/>
              <w:rPr>
                <w:sz w:val="20"/>
                <w:szCs w:val="20"/>
                <w:color w:val="auto"/>
              </w:rPr>
            </w:pPr>
            <w:r>
              <w:rPr>
                <w:rFonts w:ascii="Arial" w:cs="Arial" w:eastAsia="Arial" w:hAnsi="Arial"/>
                <w:sz w:val="18"/>
                <w:szCs w:val="18"/>
                <w:color w:val="auto"/>
              </w:rPr>
              <w:t>Chief Executive Officer</w:t>
            </w:r>
          </w:p>
        </w:tc>
        <w:tc>
          <w:tcPr>
            <w:tcW w:w="40" w:type="dxa"/>
            <w:vAlign w:val="bottom"/>
          </w:tcPr>
          <w:p>
            <w:pPr>
              <w:spacing w:after="0"/>
              <w:rPr>
                <w:sz w:val="18"/>
                <w:szCs w:val="18"/>
                <w:color w:val="auto"/>
              </w:rPr>
            </w:pPr>
          </w:p>
        </w:tc>
      </w:tr>
      <w:tr>
        <w:trPr>
          <w:trHeight w:val="230"/>
        </w:trPr>
        <w:tc>
          <w:tcPr>
            <w:tcW w:w="376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2800" w:type="dxa"/>
            <w:vAlign w:val="bottom"/>
          </w:tcPr>
          <w:p>
            <w:pPr>
              <w:spacing w:after="0"/>
              <w:rPr>
                <w:sz w:val="20"/>
                <w:szCs w:val="20"/>
                <w:color w:val="auto"/>
              </w:rPr>
            </w:pPr>
            <w:r>
              <w:rPr>
                <w:rFonts w:ascii="Arial" w:cs="Arial" w:eastAsia="Arial" w:hAnsi="Arial"/>
                <w:sz w:val="18"/>
                <w:szCs w:val="18"/>
                <w:color w:val="auto"/>
              </w:rPr>
              <w:t>(Principal Executive Officer)</w:t>
            </w:r>
          </w:p>
        </w:tc>
        <w:tc>
          <w:tcPr>
            <w:tcW w:w="40" w:type="dxa"/>
            <w:vAlign w:val="bottom"/>
          </w:tcPr>
          <w:p>
            <w:pPr>
              <w:spacing w:after="0"/>
              <w:rPr>
                <w:sz w:val="20"/>
                <w:szCs w:val="20"/>
                <w:color w:val="auto"/>
              </w:rPr>
            </w:pPr>
          </w:p>
        </w:tc>
      </w:tr>
      <w:tr>
        <w:trPr>
          <w:trHeight w:val="608"/>
        </w:trPr>
        <w:tc>
          <w:tcPr>
            <w:tcW w:w="3760" w:type="dxa"/>
            <w:vAlign w:val="bottom"/>
          </w:tcPr>
          <w:p>
            <w:pPr>
              <w:spacing w:after="0"/>
              <w:rPr>
                <w:sz w:val="20"/>
                <w:szCs w:val="20"/>
                <w:color w:val="auto"/>
              </w:rPr>
            </w:pPr>
            <w:r>
              <w:rPr>
                <w:rFonts w:ascii="Arial" w:cs="Arial" w:eastAsia="Arial" w:hAnsi="Arial"/>
                <w:sz w:val="18"/>
                <w:szCs w:val="18"/>
                <w:color w:val="auto"/>
              </w:rPr>
              <w:t>Date: November 14, 2023</w:t>
            </w:r>
          </w:p>
        </w:tc>
        <w:tc>
          <w:tcPr>
            <w:tcW w:w="2440" w:type="dxa"/>
            <w:vAlign w:val="bottom"/>
          </w:tcPr>
          <w:p>
            <w:pPr>
              <w:ind w:left="1880"/>
              <w:spacing w:after="0"/>
              <w:rPr>
                <w:sz w:val="20"/>
                <w:szCs w:val="20"/>
                <w:color w:val="auto"/>
              </w:rPr>
            </w:pPr>
            <w:r>
              <w:rPr>
                <w:rFonts w:ascii="Arial" w:cs="Arial" w:eastAsia="Arial" w:hAnsi="Arial"/>
                <w:sz w:val="18"/>
                <w:szCs w:val="18"/>
                <w:color w:val="auto"/>
              </w:rPr>
              <w:t>By:</w:t>
            </w:r>
          </w:p>
        </w:tc>
        <w:tc>
          <w:tcPr>
            <w:tcW w:w="280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Shun-Chih Chuang</w:t>
            </w:r>
          </w:p>
        </w:tc>
        <w:tc>
          <w:tcPr>
            <w:tcW w:w="40" w:type="dxa"/>
            <w:vAlign w:val="bottom"/>
            <w:tcBorders>
              <w:bottom w:val="single" w:sz="8" w:color="auto"/>
            </w:tcBorders>
          </w:tcPr>
          <w:p>
            <w:pPr>
              <w:spacing w:after="0"/>
              <w:rPr>
                <w:sz w:val="24"/>
                <w:szCs w:val="24"/>
                <w:color w:val="auto"/>
              </w:rPr>
            </w:pPr>
          </w:p>
        </w:tc>
      </w:tr>
      <w:tr>
        <w:trPr>
          <w:trHeight w:val="222"/>
        </w:trPr>
        <w:tc>
          <w:tcPr>
            <w:tcW w:w="3760" w:type="dxa"/>
            <w:vAlign w:val="bottom"/>
          </w:tcPr>
          <w:p>
            <w:pPr>
              <w:spacing w:after="0"/>
              <w:rPr>
                <w:sz w:val="19"/>
                <w:szCs w:val="19"/>
                <w:color w:val="auto"/>
              </w:rPr>
            </w:pPr>
          </w:p>
        </w:tc>
        <w:tc>
          <w:tcPr>
            <w:tcW w:w="2440" w:type="dxa"/>
            <w:vAlign w:val="bottom"/>
          </w:tcPr>
          <w:p>
            <w:pPr>
              <w:ind w:left="1880"/>
              <w:spacing w:after="0"/>
              <w:rPr>
                <w:sz w:val="20"/>
                <w:szCs w:val="20"/>
                <w:color w:val="auto"/>
              </w:rPr>
            </w:pPr>
            <w:r>
              <w:rPr>
                <w:rFonts w:ascii="Arial" w:cs="Arial" w:eastAsia="Arial" w:hAnsi="Arial"/>
                <w:sz w:val="18"/>
                <w:szCs w:val="18"/>
                <w:color w:val="auto"/>
              </w:rPr>
              <w:t>Name:</w:t>
            </w:r>
          </w:p>
        </w:tc>
        <w:tc>
          <w:tcPr>
            <w:tcW w:w="2800" w:type="dxa"/>
            <w:vAlign w:val="bottom"/>
          </w:tcPr>
          <w:p>
            <w:pPr>
              <w:spacing w:after="0"/>
              <w:rPr>
                <w:sz w:val="20"/>
                <w:szCs w:val="20"/>
                <w:color w:val="auto"/>
              </w:rPr>
            </w:pPr>
            <w:r>
              <w:rPr>
                <w:rFonts w:ascii="Arial" w:cs="Arial" w:eastAsia="Arial" w:hAnsi="Arial"/>
                <w:sz w:val="18"/>
                <w:szCs w:val="18"/>
                <w:color w:val="auto"/>
              </w:rPr>
              <w:t>Shun-Chih Chuang</w:t>
            </w:r>
          </w:p>
        </w:tc>
        <w:tc>
          <w:tcPr>
            <w:tcW w:w="40" w:type="dxa"/>
            <w:vAlign w:val="bottom"/>
          </w:tcPr>
          <w:p>
            <w:pPr>
              <w:spacing w:after="0"/>
              <w:rPr>
                <w:sz w:val="19"/>
                <w:szCs w:val="19"/>
                <w:color w:val="auto"/>
              </w:rPr>
            </w:pPr>
          </w:p>
        </w:tc>
      </w:tr>
      <w:tr>
        <w:trPr>
          <w:trHeight w:val="216"/>
        </w:trPr>
        <w:tc>
          <w:tcPr>
            <w:tcW w:w="3760" w:type="dxa"/>
            <w:vAlign w:val="bottom"/>
          </w:tcPr>
          <w:p>
            <w:pPr>
              <w:spacing w:after="0"/>
              <w:rPr>
                <w:sz w:val="18"/>
                <w:szCs w:val="18"/>
                <w:color w:val="auto"/>
              </w:rPr>
            </w:pPr>
          </w:p>
        </w:tc>
        <w:tc>
          <w:tcPr>
            <w:tcW w:w="2440" w:type="dxa"/>
            <w:vAlign w:val="bottom"/>
          </w:tcPr>
          <w:p>
            <w:pPr>
              <w:ind w:left="1880"/>
              <w:spacing w:after="0"/>
              <w:rPr>
                <w:sz w:val="20"/>
                <w:szCs w:val="20"/>
                <w:color w:val="auto"/>
              </w:rPr>
            </w:pPr>
            <w:r>
              <w:rPr>
                <w:rFonts w:ascii="Arial" w:cs="Arial" w:eastAsia="Arial" w:hAnsi="Arial"/>
                <w:sz w:val="18"/>
                <w:szCs w:val="18"/>
                <w:color w:val="auto"/>
              </w:rPr>
              <w:t>Title:</w:t>
            </w:r>
          </w:p>
        </w:tc>
        <w:tc>
          <w:tcPr>
            <w:tcW w:w="280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40" w:type="dxa"/>
            <w:vAlign w:val="bottom"/>
          </w:tcPr>
          <w:p>
            <w:pPr>
              <w:spacing w:after="0"/>
              <w:rPr>
                <w:sz w:val="18"/>
                <w:szCs w:val="18"/>
                <w:color w:val="auto"/>
              </w:rPr>
            </w:pPr>
          </w:p>
        </w:tc>
      </w:tr>
      <w:tr>
        <w:trPr>
          <w:trHeight w:val="216"/>
        </w:trPr>
        <w:tc>
          <w:tcPr>
            <w:tcW w:w="3760" w:type="dxa"/>
            <w:vAlign w:val="bottom"/>
          </w:tcPr>
          <w:p>
            <w:pPr>
              <w:spacing w:after="0"/>
              <w:rPr>
                <w:sz w:val="18"/>
                <w:szCs w:val="18"/>
                <w:color w:val="auto"/>
              </w:rPr>
            </w:pPr>
          </w:p>
        </w:tc>
        <w:tc>
          <w:tcPr>
            <w:tcW w:w="2440" w:type="dxa"/>
            <w:vAlign w:val="bottom"/>
          </w:tcPr>
          <w:p>
            <w:pPr>
              <w:spacing w:after="0"/>
              <w:rPr>
                <w:sz w:val="18"/>
                <w:szCs w:val="18"/>
                <w:color w:val="auto"/>
              </w:rPr>
            </w:pPr>
          </w:p>
        </w:tc>
        <w:tc>
          <w:tcPr>
            <w:tcW w:w="2800" w:type="dxa"/>
            <w:vAlign w:val="bottom"/>
          </w:tcPr>
          <w:p>
            <w:pPr>
              <w:spacing w:after="0"/>
              <w:rPr>
                <w:sz w:val="20"/>
                <w:szCs w:val="20"/>
                <w:color w:val="auto"/>
              </w:rPr>
            </w:pPr>
            <w:r>
              <w:rPr>
                <w:rFonts w:ascii="Arial" w:cs="Arial" w:eastAsia="Arial" w:hAnsi="Arial"/>
                <w:sz w:val="18"/>
                <w:szCs w:val="18"/>
                <w:color w:val="auto"/>
              </w:rPr>
              <w:t>(Principal Financial Officer)</w:t>
            </w:r>
          </w:p>
        </w:tc>
        <w:tc>
          <w:tcPr>
            <w:tcW w:w="40" w:type="dxa"/>
            <w:vAlign w:val="bottom"/>
          </w:tcPr>
          <w:p>
            <w:pPr>
              <w:spacing w:after="0"/>
              <w:rPr>
                <w:sz w:val="18"/>
                <w:szCs w:val="18"/>
                <w:color w:val="auto"/>
              </w:rPr>
            </w:pPr>
          </w:p>
        </w:tc>
      </w:tr>
      <w:tr>
        <w:trPr>
          <w:trHeight w:val="230"/>
        </w:trPr>
        <w:tc>
          <w:tcPr>
            <w:tcW w:w="3760" w:type="dxa"/>
            <w:vAlign w:val="bottom"/>
          </w:tcPr>
          <w:p>
            <w:pPr>
              <w:spacing w:after="0"/>
              <w:rPr>
                <w:sz w:val="20"/>
                <w:szCs w:val="20"/>
                <w:color w:val="auto"/>
              </w:rPr>
            </w:pPr>
          </w:p>
        </w:tc>
        <w:tc>
          <w:tcPr>
            <w:tcW w:w="2440" w:type="dxa"/>
            <w:vAlign w:val="bottom"/>
          </w:tcPr>
          <w:p>
            <w:pPr>
              <w:spacing w:after="0"/>
              <w:rPr>
                <w:sz w:val="20"/>
                <w:szCs w:val="20"/>
                <w:color w:val="auto"/>
              </w:rPr>
            </w:pPr>
          </w:p>
        </w:tc>
        <w:tc>
          <w:tcPr>
            <w:tcW w:w="2800" w:type="dxa"/>
            <w:vAlign w:val="bottom"/>
          </w:tcPr>
          <w:p>
            <w:pPr>
              <w:spacing w:after="0"/>
              <w:rPr>
                <w:sz w:val="20"/>
                <w:szCs w:val="20"/>
                <w:color w:val="auto"/>
              </w:rPr>
            </w:pPr>
            <w:r>
              <w:rPr>
                <w:rFonts w:ascii="Arial" w:cs="Arial" w:eastAsia="Arial" w:hAnsi="Arial"/>
                <w:sz w:val="18"/>
                <w:szCs w:val="18"/>
                <w:color w:val="auto"/>
              </w:rPr>
              <w:t>(Principal Accounting Officer)</w:t>
            </w:r>
          </w:p>
        </w:tc>
        <w:tc>
          <w:tcPr>
            <w:tcW w:w="40" w:type="dxa"/>
            <w:vAlign w:val="bottom"/>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340"/>
          </w:cols>
          <w:pgMar w:left="320" w:top="796" w:right="1239" w:bottom="1440" w:gutter="0" w:footer="0" w:header="0"/>
        </w:sectPr>
      </w:pPr>
    </w:p>
    <w:bookmarkStart w:id="50" w:name="page51"/>
    <w:bookmarkEnd w:id="50"/>
    <w:p>
      <w:pPr>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Andy Ching-An Jin, Chief Executive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16"/>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period ended September 30, 2023;</w:t>
      </w:r>
    </w:p>
    <w:p>
      <w:pPr>
        <w:spacing w:after="0" w:line="225" w:lineRule="exact"/>
        <w:rPr>
          <w:rFonts w:ascii="Arial" w:cs="Arial" w:eastAsia="Arial" w:hAnsi="Arial"/>
          <w:sz w:val="18"/>
          <w:szCs w:val="18"/>
          <w:color w:val="auto"/>
        </w:rPr>
      </w:pPr>
    </w:p>
    <w:p>
      <w:pPr>
        <w:jc w:val="both"/>
        <w:ind w:firstLine="8"/>
        <w:spacing w:after="0" w:line="263" w:lineRule="auto"/>
        <w:tabs>
          <w:tab w:leader="none" w:pos="261"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firstLine="8"/>
        <w:spacing w:after="0" w:line="277" w:lineRule="auto"/>
        <w:tabs>
          <w:tab w:leader="none" w:pos="278" w:val="left"/>
        </w:tabs>
        <w:numPr>
          <w:ilvl w:val="0"/>
          <w:numId w:val="16"/>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70" w:lineRule="exact"/>
        <w:rPr>
          <w:rFonts w:ascii="Arial" w:cs="Arial" w:eastAsia="Arial" w:hAnsi="Arial"/>
          <w:sz w:val="18"/>
          <w:szCs w:val="18"/>
          <w:color w:val="auto"/>
        </w:rPr>
      </w:pPr>
    </w:p>
    <w:p>
      <w:pPr>
        <w:jc w:val="both"/>
        <w:ind w:firstLine="8"/>
        <w:spacing w:after="0" w:line="263" w:lineRule="auto"/>
        <w:tabs>
          <w:tab w:leader="none" w:pos="289"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01"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30" w:val="left"/>
        </w:tabs>
        <w:numPr>
          <w:ilvl w:val="1"/>
          <w:numId w:val="16"/>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firstLine="656"/>
        <w:spacing w:after="0" w:line="308" w:lineRule="auto"/>
        <w:tabs>
          <w:tab w:leader="none" w:pos="927" w:val="left"/>
        </w:tabs>
        <w:numPr>
          <w:ilvl w:val="1"/>
          <w:numId w:val="16"/>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firstLine="656"/>
        <w:spacing w:after="0" w:line="342" w:lineRule="auto"/>
        <w:tabs>
          <w:tab w:leader="none" w:pos="908" w:val="left"/>
        </w:tabs>
        <w:numPr>
          <w:ilvl w:val="1"/>
          <w:numId w:val="16"/>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23" w:lineRule="exact"/>
        <w:rPr>
          <w:rFonts w:ascii="Arial" w:cs="Arial" w:eastAsia="Arial" w:hAnsi="Arial"/>
          <w:sz w:val="16"/>
          <w:szCs w:val="16"/>
          <w:color w:val="auto"/>
        </w:rPr>
      </w:pPr>
    </w:p>
    <w:p>
      <w:pPr>
        <w:ind w:firstLine="8"/>
        <w:spacing w:after="0" w:line="277" w:lineRule="auto"/>
        <w:tabs>
          <w:tab w:leader="none" w:pos="271" w:val="left"/>
        </w:tabs>
        <w:numPr>
          <w:ilvl w:val="0"/>
          <w:numId w:val="16"/>
        </w:numPr>
        <w:rPr>
          <w:rFonts w:ascii="Arial" w:cs="Arial" w:eastAsia="Arial" w:hAnsi="Arial"/>
          <w:sz w:val="18"/>
          <w:szCs w:val="18"/>
          <w:color w:val="auto"/>
        </w:rPr>
      </w:pPr>
      <w:r>
        <w:rPr>
          <w:rFonts w:ascii="Arial" w:cs="Arial" w:eastAsia="Arial" w:hAnsi="Arial"/>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70" w:lineRule="exact"/>
        <w:rPr>
          <w:rFonts w:ascii="Arial" w:cs="Arial" w:eastAsia="Arial" w:hAnsi="Arial"/>
          <w:sz w:val="18"/>
          <w:szCs w:val="18"/>
          <w:color w:val="auto"/>
        </w:rPr>
      </w:pPr>
    </w:p>
    <w:p>
      <w:pPr>
        <w:ind w:firstLine="656"/>
        <w:spacing w:after="0" w:line="277" w:lineRule="auto"/>
        <w:tabs>
          <w:tab w:leader="none" w:pos="897" w:val="left"/>
        </w:tabs>
        <w:numPr>
          <w:ilvl w:val="1"/>
          <w:numId w:val="16"/>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70" w:lineRule="exact"/>
        <w:rPr>
          <w:rFonts w:ascii="Arial" w:cs="Arial" w:eastAsia="Arial" w:hAnsi="Arial"/>
          <w:sz w:val="18"/>
          <w:szCs w:val="18"/>
          <w:color w:val="auto"/>
        </w:rPr>
      </w:pPr>
    </w:p>
    <w:p>
      <w:pPr>
        <w:ind w:right="20" w:firstLine="656"/>
        <w:spacing w:after="0" w:line="277" w:lineRule="auto"/>
        <w:tabs>
          <w:tab w:leader="none" w:pos="903" w:val="left"/>
        </w:tabs>
        <w:numPr>
          <w:ilvl w:val="1"/>
          <w:numId w:val="16"/>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November 14,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Andy Ching-An Jin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497965"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5">
                      <a:extLst>
                        <a:ext uri="{28A0092B-C50C-407E-A947-70E740481C1C}"/>
                      </a:extLst>
                    </a:blip>
                    <a:srcRect/>
                    <a:stretch>
                      <a:fillRect/>
                    </a:stretch>
                  </pic:blipFill>
                  <pic:spPr bwMode="auto">
                    <a:xfrm>
                      <a:off x="0" y="0"/>
                      <a:ext cx="149796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Andy Ching-An Jin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51" w:name="page52"/>
    <w:bookmarkEnd w:id="51"/>
    <w:p>
      <w:pPr>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Shun-Chih Chuang, Chief Financial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17"/>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period ended September 30, 2023;</w:t>
      </w:r>
    </w:p>
    <w:p>
      <w:pPr>
        <w:spacing w:after="0" w:line="225" w:lineRule="exact"/>
        <w:rPr>
          <w:rFonts w:ascii="Arial" w:cs="Arial" w:eastAsia="Arial" w:hAnsi="Arial"/>
          <w:sz w:val="18"/>
          <w:szCs w:val="18"/>
          <w:color w:val="auto"/>
        </w:rPr>
      </w:pPr>
    </w:p>
    <w:p>
      <w:pPr>
        <w:jc w:val="both"/>
        <w:ind w:firstLine="8"/>
        <w:spacing w:after="0" w:line="263" w:lineRule="auto"/>
        <w:tabs>
          <w:tab w:leader="none" w:pos="261"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firstLine="8"/>
        <w:spacing w:after="0" w:line="277" w:lineRule="auto"/>
        <w:tabs>
          <w:tab w:leader="none" w:pos="278" w:val="left"/>
        </w:tabs>
        <w:numPr>
          <w:ilvl w:val="0"/>
          <w:numId w:val="17"/>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70" w:lineRule="exact"/>
        <w:rPr>
          <w:rFonts w:ascii="Arial" w:cs="Arial" w:eastAsia="Arial" w:hAnsi="Arial"/>
          <w:sz w:val="18"/>
          <w:szCs w:val="18"/>
          <w:color w:val="auto"/>
        </w:rPr>
      </w:pPr>
    </w:p>
    <w:p>
      <w:pPr>
        <w:jc w:val="both"/>
        <w:ind w:firstLine="8"/>
        <w:spacing w:after="0" w:line="263" w:lineRule="auto"/>
        <w:tabs>
          <w:tab w:leader="none" w:pos="289"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01"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30" w:val="left"/>
        </w:tabs>
        <w:numPr>
          <w:ilvl w:val="1"/>
          <w:numId w:val="17"/>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firstLine="656"/>
        <w:spacing w:after="0" w:line="308" w:lineRule="auto"/>
        <w:tabs>
          <w:tab w:leader="none" w:pos="927" w:val="left"/>
        </w:tabs>
        <w:numPr>
          <w:ilvl w:val="1"/>
          <w:numId w:val="17"/>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firstLine="656"/>
        <w:spacing w:after="0" w:line="342" w:lineRule="auto"/>
        <w:tabs>
          <w:tab w:leader="none" w:pos="908" w:val="left"/>
        </w:tabs>
        <w:numPr>
          <w:ilvl w:val="1"/>
          <w:numId w:val="17"/>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23" w:lineRule="exact"/>
        <w:rPr>
          <w:rFonts w:ascii="Arial" w:cs="Arial" w:eastAsia="Arial" w:hAnsi="Arial"/>
          <w:sz w:val="16"/>
          <w:szCs w:val="16"/>
          <w:color w:val="auto"/>
        </w:rPr>
      </w:pPr>
    </w:p>
    <w:p>
      <w:pPr>
        <w:ind w:firstLine="8"/>
        <w:spacing w:after="0" w:line="277" w:lineRule="auto"/>
        <w:tabs>
          <w:tab w:leader="none" w:pos="271"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70" w:lineRule="exact"/>
        <w:rPr>
          <w:rFonts w:ascii="Arial" w:cs="Arial" w:eastAsia="Arial" w:hAnsi="Arial"/>
          <w:sz w:val="18"/>
          <w:szCs w:val="18"/>
          <w:color w:val="auto"/>
        </w:rPr>
      </w:pPr>
    </w:p>
    <w:p>
      <w:pPr>
        <w:ind w:firstLine="656"/>
        <w:spacing w:after="0" w:line="277" w:lineRule="auto"/>
        <w:tabs>
          <w:tab w:leader="none" w:pos="897" w:val="left"/>
        </w:tabs>
        <w:numPr>
          <w:ilvl w:val="1"/>
          <w:numId w:val="17"/>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70" w:lineRule="exact"/>
        <w:rPr>
          <w:rFonts w:ascii="Arial" w:cs="Arial" w:eastAsia="Arial" w:hAnsi="Arial"/>
          <w:sz w:val="18"/>
          <w:szCs w:val="18"/>
          <w:color w:val="auto"/>
        </w:rPr>
      </w:pPr>
    </w:p>
    <w:p>
      <w:pPr>
        <w:ind w:right="20" w:firstLine="656"/>
        <w:spacing w:after="0" w:line="277" w:lineRule="auto"/>
        <w:tabs>
          <w:tab w:leader="none" w:pos="903" w:val="left"/>
        </w:tabs>
        <w:numPr>
          <w:ilvl w:val="1"/>
          <w:numId w:val="17"/>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November 14,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586865"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extLst>
                    </a:blip>
                    <a:srcRect/>
                    <a:stretch>
                      <a:fillRect/>
                    </a:stretch>
                  </pic:blipFill>
                  <pic:spPr bwMode="auto">
                    <a:xfrm>
                      <a:off x="0" y="0"/>
                      <a:ext cx="158686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Shun-Chih Chuang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Accounting Officer)</w:t>
      </w:r>
    </w:p>
    <w:p>
      <w:pPr>
        <w:sectPr>
          <w:pgSz w:w="11900" w:h="16838" w:orient="portrait"/>
          <w:cols w:equalWidth="0" w:num="1">
            <w:col w:w="11240"/>
          </w:cols>
          <w:pgMar w:left="320" w:top="121" w:right="339" w:bottom="1440" w:gutter="0" w:footer="0" w:header="0"/>
        </w:sectPr>
      </w:pPr>
    </w:p>
    <w:bookmarkStart w:id="52" w:name="page53"/>
    <w:bookmarkEnd w:id="52"/>
    <w:p>
      <w:pPr>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00" w:lineRule="exact"/>
        <w:rPr>
          <w:sz w:val="20"/>
          <w:szCs w:val="20"/>
          <w:color w:val="auto"/>
        </w:rPr>
      </w:pPr>
    </w:p>
    <w:p>
      <w:pPr>
        <w:spacing w:after="0" w:line="22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Quarterly Report on Form 10-Q of Nocera, Inc. (the “Company”) for the period ended September 30, 2023, as filed with the Securities and Exchange Commission on the date hereof (the “Report”), the undersigned, Andy Ching-An Jin, Chief Executive Officer of the Company hereby certifies, pursuant to 18 U.S.C. Section 1350, as adopted pursuant to Section 906 of the Sarbanes-Oxley Act of 2002, that:</w:t>
      </w:r>
    </w:p>
    <w:p>
      <w:pPr>
        <w:spacing w:after="0" w:line="165" w:lineRule="exact"/>
        <w:rPr>
          <w:sz w:val="20"/>
          <w:szCs w:val="20"/>
          <w:color w:val="auto"/>
        </w:rPr>
      </w:pPr>
    </w:p>
    <w:p>
      <w:pPr>
        <w:ind w:left="580" w:hanging="572"/>
        <w:spacing w:after="0"/>
        <w:tabs>
          <w:tab w:leader="none" w:pos="580"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18"/>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Andy Ching-An Jin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297940"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7">
                      <a:extLst>
                        <a:ext uri="{28A0092B-C50C-407E-A947-70E740481C1C}"/>
                      </a:extLst>
                    </a:blip>
                    <a:srcRect/>
                    <a:stretch>
                      <a:fillRect/>
                    </a:stretch>
                  </pic:blipFill>
                  <pic:spPr bwMode="auto">
                    <a:xfrm>
                      <a:off x="0" y="0"/>
                      <a:ext cx="129794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Andy Ching-An Jin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November 14, 2023</w:t>
      </w:r>
    </w:p>
    <w:p>
      <w:pPr>
        <w:sectPr>
          <w:pgSz w:w="11900" w:h="16838" w:orient="portrait"/>
          <w:cols w:equalWidth="0" w:num="1">
            <w:col w:w="11240"/>
          </w:cols>
          <w:pgMar w:left="320" w:top="121" w:right="339" w:bottom="1440" w:gutter="0" w:footer="0" w:header="0"/>
        </w:sectPr>
      </w:pPr>
    </w:p>
    <w:bookmarkStart w:id="53" w:name="page54"/>
    <w:bookmarkEnd w:id="53"/>
    <w:p>
      <w:pPr>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00" w:lineRule="exact"/>
        <w:rPr>
          <w:sz w:val="20"/>
          <w:szCs w:val="20"/>
          <w:color w:val="auto"/>
        </w:rPr>
      </w:pPr>
    </w:p>
    <w:p>
      <w:pPr>
        <w:spacing w:after="0" w:line="22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Quarterly Report on Form 10-Q of Nocera, Inc. (the “Company”) for the period ended September 30, 2023, as filed with the Securities and Exchange Commission on the date hereof (the “Report”), the undersigned, Shun-Chih Chuang, Chief Financial Officer of the Company hereby certifies, pursuant to 18 U.S.C. Section 1350, as adopted pursuant to Section 906 of the Sarbanes-Oxley Act of 2002, that:</w:t>
      </w:r>
    </w:p>
    <w:p>
      <w:pPr>
        <w:spacing w:after="0" w:line="165" w:lineRule="exact"/>
        <w:rPr>
          <w:sz w:val="20"/>
          <w:szCs w:val="20"/>
          <w:color w:val="auto"/>
        </w:rPr>
      </w:pPr>
    </w:p>
    <w:p>
      <w:pPr>
        <w:ind w:left="580" w:hanging="572"/>
        <w:spacing w:after="0"/>
        <w:tabs>
          <w:tab w:leader="none" w:pos="5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19"/>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586865"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8">
                      <a:extLst>
                        <a:ext uri="{28A0092B-C50C-407E-A947-70E740481C1C}"/>
                      </a:extLst>
                    </a:blip>
                    <a:srcRect/>
                    <a:stretch>
                      <a:fillRect/>
                    </a:stretch>
                  </pic:blipFill>
                  <pic:spPr bwMode="auto">
                    <a:xfrm>
                      <a:off x="0" y="0"/>
                      <a:ext cx="158686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Shun-Chih Chuang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Accounting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November 14, 2023</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4DB127F8"/>
    <w:multiLevelType w:val="hybridMultilevel"/>
    <w:lvl w:ilvl="0">
      <w:lvlJc w:val="left"/>
      <w:lvlText w:val="☐"/>
      <w:numFmt w:val="bullet"/>
      <w:start w:val="1"/>
    </w:lvl>
  </w:abstractNum>
  <w:abstractNum w:abstractNumId="1">
    <w:nsid w:val="216231B"/>
    <w:multiLevelType w:val="hybridMultilevel"/>
    <w:lvl w:ilvl="0">
      <w:lvlJc w:val="left"/>
      <w:lvlText w:val="·"/>
      <w:numFmt w:val="bullet"/>
      <w:start w:val="1"/>
    </w:lvl>
  </w:abstractNum>
  <w:abstractNum w:abstractNumId="2">
    <w:nsid w:val="1F16E9E8"/>
    <w:multiLevelType w:val="hybridMultilevel"/>
    <w:lvl w:ilvl="0">
      <w:lvlJc w:val="left"/>
      <w:lvlText w:val="(%1)"/>
      <w:numFmt w:val="decimal"/>
      <w:start w:val="1"/>
    </w:lvl>
  </w:abstractNum>
  <w:abstractNum w:abstractNumId="3">
    <w:nsid w:val="1190CDE7"/>
    <w:multiLevelType w:val="hybridMultilevel"/>
    <w:lvl w:ilvl="0">
      <w:lvlJc w:val="left"/>
      <w:lvlText w:val="·"/>
      <w:numFmt w:val="bullet"/>
      <w:start w:val="1"/>
    </w:lvl>
  </w:abstractNum>
  <w:abstractNum w:abstractNumId="4">
    <w:nsid w:val="66EF438D"/>
    <w:multiLevelType w:val="hybridMultilevel"/>
    <w:lvl w:ilvl="0">
      <w:lvlJc w:val="left"/>
      <w:lvlText w:val="%1)"/>
      <w:numFmt w:val="lowerLetter"/>
      <w:start w:val="1"/>
    </w:lvl>
  </w:abstractNum>
  <w:abstractNum w:abstractNumId="5">
    <w:nsid w:val="140E0F76"/>
    <w:multiLevelType w:val="hybridMultilevel"/>
    <w:lvl w:ilvl="0">
      <w:lvlJc w:val="left"/>
      <w:lvlText w:val="%1)"/>
      <w:numFmt w:val="decimal"/>
      <w:start w:val="1"/>
    </w:lvl>
  </w:abstractNum>
  <w:abstractNum w:abstractNumId="6">
    <w:nsid w:val="3352255A"/>
    <w:multiLevelType w:val="hybridMultilevel"/>
    <w:lvl w:ilvl="0">
      <w:lvlJc w:val="left"/>
      <w:lvlText w:val="%1)"/>
      <w:numFmt w:val="lowerLetter"/>
      <w:start w:val="2"/>
    </w:lvl>
  </w:abstractNum>
  <w:abstractNum w:abstractNumId="7">
    <w:nsid w:val="109CF92E"/>
    <w:multiLevelType w:val="hybridMultilevel"/>
    <w:lvl w:ilvl="0">
      <w:lvlJc w:val="left"/>
      <w:lvlText w:val="·"/>
      <w:numFmt w:val="bullet"/>
      <w:start w:val="1"/>
    </w:lvl>
  </w:abstractNum>
  <w:abstractNum w:abstractNumId="8">
    <w:nsid w:val="DED7263"/>
    <w:multiLevelType w:val="hybridMultilevel"/>
    <w:lvl w:ilvl="0">
      <w:lvlJc w:val="left"/>
      <w:lvlText w:val="(%1)"/>
      <w:numFmt w:val="lowerLetter"/>
      <w:start w:val="1"/>
    </w:lvl>
  </w:abstractNum>
  <w:abstractNum w:abstractNumId="9">
    <w:nsid w:val="7FDCC233"/>
    <w:multiLevelType w:val="hybridMultilevel"/>
    <w:lvl w:ilvl="0">
      <w:lvlJc w:val="left"/>
      <w:lvlText w:val="·"/>
      <w:numFmt w:val="bullet"/>
      <w:start w:val="1"/>
    </w:lvl>
  </w:abstractNum>
  <w:abstractNum w:abstractNumId="10">
    <w:nsid w:val="1BEFD79F"/>
    <w:multiLevelType w:val="hybridMultilevel"/>
    <w:lvl w:ilvl="0">
      <w:lvlJc w:val="left"/>
      <w:lvlText w:val="·"/>
      <w:numFmt w:val="bullet"/>
      <w:start w:val="1"/>
    </w:lvl>
    <w:lvl w:ilvl="1">
      <w:lvlJc w:val="left"/>
      <w:lvlText w:val="·"/>
      <w:numFmt w:val="bullet"/>
      <w:start w:val="1"/>
    </w:lvl>
  </w:abstractNum>
  <w:abstractNum w:abstractNumId="11">
    <w:nsid w:val="41A7C4C9"/>
    <w:multiLevelType w:val="hybridMultilevel"/>
    <w:lvl w:ilvl="0">
      <w:lvlJc w:val="left"/>
      <w:lvlText w:val="·"/>
      <w:numFmt w:val="bullet"/>
      <w:start w:val="1"/>
    </w:lvl>
  </w:abstractNum>
  <w:abstractNum w:abstractNumId="12">
    <w:nsid w:val="6B68079A"/>
    <w:multiLevelType w:val="hybridMultilevel"/>
    <w:lvl w:ilvl="0">
      <w:lvlJc w:val="left"/>
      <w:lvlText w:val="(%1)"/>
      <w:numFmt w:val="decimal"/>
      <w:start w:val="2"/>
    </w:lvl>
  </w:abstractNum>
  <w:abstractNum w:abstractNumId="13">
    <w:nsid w:val="4E6AFB66"/>
    <w:multiLevelType w:val="hybridMultilevel"/>
    <w:lvl w:ilvl="0">
      <w:lvlJc w:val="left"/>
      <w:lvlText w:val="·"/>
      <w:numFmt w:val="bullet"/>
      <w:start w:val="1"/>
    </w:lvl>
  </w:abstractNum>
  <w:abstractNum w:abstractNumId="14">
    <w:nsid w:val="25E45D32"/>
    <w:multiLevelType w:val="hybridMultilevel"/>
    <w:lvl w:ilvl="0">
      <w:lvlJc w:val="left"/>
      <w:lvlText w:val="+"/>
      <w:numFmt w:val="bullet"/>
      <w:start w:val="1"/>
    </w:lvl>
  </w:abstractNum>
  <w:abstractNum w:abstractNumId="15">
    <w:nsid w:val="519B500D"/>
    <w:multiLevelType w:val="hybridMultilevel"/>
    <w:lvl w:ilvl="0">
      <w:lvlJc w:val="left"/>
      <w:lvlText w:val="(%1)"/>
      <w:numFmt w:val="decimal"/>
      <w:start w:val="1"/>
    </w:lvl>
    <w:lvl w:ilvl="1">
      <w:lvlJc w:val="left"/>
      <w:lvlText w:val="(%2)"/>
      <w:numFmt w:val="lowerLetter"/>
      <w:start w:val="1"/>
    </w:lvl>
  </w:abstractNum>
  <w:abstractNum w:abstractNumId="16">
    <w:nsid w:val="431BD7B7"/>
    <w:multiLevelType w:val="hybridMultilevel"/>
    <w:lvl w:ilvl="0">
      <w:lvlJc w:val="left"/>
      <w:lvlText w:val="(%1)"/>
      <w:numFmt w:val="decimal"/>
      <w:start w:val="1"/>
    </w:lvl>
    <w:lvl w:ilvl="1">
      <w:lvlJc w:val="left"/>
      <w:lvlText w:val="(%2)"/>
      <w:numFmt w:val="lowerLetter"/>
      <w:start w:val="1"/>
    </w:lvl>
  </w:abstractNum>
  <w:abstractNum w:abstractNumId="17">
    <w:nsid w:val="3F2DBA31"/>
    <w:multiLevelType w:val="hybridMultilevel"/>
    <w:lvl w:ilvl="0">
      <w:lvlJc w:val="left"/>
      <w:lvlText w:val="(%1)"/>
      <w:numFmt w:val="decimal"/>
      <w:start w:val="1"/>
    </w:lvl>
  </w:abstractNum>
  <w:abstractNum w:abstractNumId="18">
    <w:nsid w:val="7C83E45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3" Type="http://schemas.openxmlformats.org/officeDocument/2006/relationships/image" Target="media/image75.png"/><Relationship Id="rId84" Type="http://schemas.openxmlformats.org/officeDocument/2006/relationships/image" Target="media/image76.png"/><Relationship Id="rId85" Type="http://schemas.openxmlformats.org/officeDocument/2006/relationships/image" Target="media/image77.png"/><Relationship Id="rId86" Type="http://schemas.openxmlformats.org/officeDocument/2006/relationships/image" Target="media/image78.png"/><Relationship Id="rId87" Type="http://schemas.openxmlformats.org/officeDocument/2006/relationships/image" Target="media/image79.png"/><Relationship Id="rId88" Type="http://schemas.openxmlformats.org/officeDocument/2006/relationships/image" Target="media/image80.png"/><Relationship Id="rId82" Type="http://schemas.openxmlformats.org/officeDocument/2006/relationships/hyperlink" Target="https://www.sec.gov/Archives/edgar/data/1756180/000168316823005306/nocera_ex1001.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2023-11-14T15:09:09Z</dcterms:created>
  <dcterms:modified xsi:type="dcterms:W3CDTF">2023-11-14T15:09:09Z</dcterms:modified>
</cp:coreProperties>
</file>