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Arial" w:cs="Arial" w:eastAsia="Arial" w:hAnsi="Arial"/>
          <w:sz w:val="18"/>
          <w:szCs w:val="18"/>
          <w:b w:val="1"/>
          <w:bCs w:val="1"/>
          <w:color w:val="auto"/>
        </w:rPr>
        <w:t>UNITED STATES</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WASHINGTON, D.C. 20549</w:t>
      </w:r>
    </w:p>
    <w:p>
      <w:pPr>
        <w:spacing w:after="0" w:line="207" w:lineRule="exact"/>
        <w:rPr>
          <w:sz w:val="24"/>
          <w:szCs w:val="24"/>
          <w:color w:val="auto"/>
        </w:rPr>
      </w:pPr>
    </w:p>
    <w:tbl>
      <w:tblPr>
        <w:tblLayout w:type="fixed"/>
        <w:tblInd w:w="0" w:type="dxa"/>
        <w:tblCellMar>
          <w:top w:w="0" w:type="dxa"/>
          <w:left w:w="0" w:type="dxa"/>
          <w:bottom w:w="0" w:type="dxa"/>
          <w:right w:w="0" w:type="dxa"/>
        </w:tblCellMar>
      </w:tblPr>
      <w:tr>
        <w:trPr>
          <w:trHeight w:val="234"/>
        </w:trPr>
        <w:tc>
          <w:tcPr>
            <w:tcW w:w="27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3600" w:type="dxa"/>
            <w:vAlign w:val="bottom"/>
            <w:gridSpan w:val="4"/>
          </w:tcPr>
          <w:p>
            <w:pPr>
              <w:jc w:val="center"/>
              <w:ind w:right="2360"/>
              <w:spacing w:after="0"/>
              <w:rPr>
                <w:sz w:val="20"/>
                <w:szCs w:val="20"/>
                <w:color w:val="auto"/>
              </w:rPr>
            </w:pPr>
            <w:r>
              <w:rPr>
                <w:rFonts w:ascii="Arial" w:cs="Arial" w:eastAsia="Arial" w:hAnsi="Arial"/>
                <w:sz w:val="18"/>
                <w:szCs w:val="18"/>
                <w:b w:val="1"/>
                <w:bCs w:val="1"/>
                <w:color w:val="auto"/>
              </w:rPr>
              <w:t>FORM 8-K</w:t>
            </w:r>
          </w:p>
        </w:tc>
        <w:tc>
          <w:tcPr>
            <w:tcW w:w="2640" w:type="dxa"/>
            <w:vAlign w:val="bottom"/>
          </w:tcPr>
          <w:p>
            <w:pPr>
              <w:spacing w:after="0"/>
              <w:rPr>
                <w:sz w:val="20"/>
                <w:szCs w:val="20"/>
                <w:color w:val="auto"/>
              </w:rPr>
            </w:pPr>
          </w:p>
        </w:tc>
      </w:tr>
      <w:tr>
        <w:trPr>
          <w:trHeight w:val="432"/>
        </w:trPr>
        <w:tc>
          <w:tcPr>
            <w:tcW w:w="27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660" w:type="dxa"/>
            <w:vAlign w:val="bottom"/>
            <w:gridSpan w:val="5"/>
          </w:tcPr>
          <w:p>
            <w:pPr>
              <w:jc w:val="center"/>
              <w:ind w:right="1300"/>
              <w:spacing w:after="0"/>
              <w:rPr>
                <w:sz w:val="20"/>
                <w:szCs w:val="20"/>
                <w:color w:val="auto"/>
              </w:rPr>
            </w:pPr>
            <w:r>
              <w:rPr>
                <w:rFonts w:ascii="Arial" w:cs="Arial" w:eastAsia="Arial" w:hAnsi="Arial"/>
                <w:sz w:val="18"/>
                <w:szCs w:val="18"/>
                <w:b w:val="1"/>
                <w:bCs w:val="1"/>
                <w:color w:val="auto"/>
                <w:w w:val="99"/>
              </w:rPr>
              <w:t>CURRENT REPORT</w:t>
            </w:r>
          </w:p>
        </w:tc>
        <w:tc>
          <w:tcPr>
            <w:tcW w:w="2640" w:type="dxa"/>
            <w:vAlign w:val="bottom"/>
          </w:tcPr>
          <w:p>
            <w:pPr>
              <w:spacing w:after="0"/>
              <w:rPr>
                <w:sz w:val="24"/>
                <w:szCs w:val="24"/>
                <w:color w:val="auto"/>
              </w:rPr>
            </w:pPr>
          </w:p>
        </w:tc>
      </w:tr>
      <w:tr>
        <w:trPr>
          <w:trHeight w:val="432"/>
        </w:trPr>
        <w:tc>
          <w:tcPr>
            <w:tcW w:w="2780" w:type="dxa"/>
            <w:vAlign w:val="bottom"/>
          </w:tcPr>
          <w:p>
            <w:pPr>
              <w:spacing w:after="0"/>
              <w:rPr>
                <w:sz w:val="24"/>
                <w:szCs w:val="24"/>
                <w:color w:val="auto"/>
              </w:rPr>
            </w:pPr>
          </w:p>
        </w:tc>
        <w:tc>
          <w:tcPr>
            <w:tcW w:w="5820" w:type="dxa"/>
            <w:vAlign w:val="bottom"/>
            <w:gridSpan w:val="7"/>
          </w:tcPr>
          <w:p>
            <w:pPr>
              <w:jc w:val="center"/>
              <w:ind w:right="120"/>
              <w:spacing w:after="0"/>
              <w:rPr>
                <w:sz w:val="20"/>
                <w:szCs w:val="20"/>
                <w:color w:val="auto"/>
              </w:rPr>
            </w:pPr>
            <w:r>
              <w:rPr>
                <w:rFonts w:ascii="Arial" w:cs="Arial" w:eastAsia="Arial" w:hAnsi="Arial"/>
                <w:sz w:val="18"/>
                <w:szCs w:val="18"/>
                <w:b w:val="1"/>
                <w:bCs w:val="1"/>
                <w:color w:val="auto"/>
                <w:w w:val="89"/>
              </w:rPr>
              <w:t>Pursuant to Section 13 or 15(d) of the Securities Exchange Act of 1934</w:t>
            </w:r>
          </w:p>
        </w:tc>
        <w:tc>
          <w:tcPr>
            <w:tcW w:w="2640" w:type="dxa"/>
            <w:vAlign w:val="bottom"/>
          </w:tcPr>
          <w:p>
            <w:pPr>
              <w:spacing w:after="0"/>
              <w:rPr>
                <w:sz w:val="24"/>
                <w:szCs w:val="24"/>
                <w:color w:val="auto"/>
              </w:rPr>
            </w:pPr>
          </w:p>
        </w:tc>
      </w:tr>
      <w:tr>
        <w:trPr>
          <w:trHeight w:val="432"/>
        </w:trPr>
        <w:tc>
          <w:tcPr>
            <w:tcW w:w="2780" w:type="dxa"/>
            <w:vAlign w:val="bottom"/>
          </w:tcPr>
          <w:p>
            <w:pPr>
              <w:spacing w:after="0"/>
              <w:rPr>
                <w:sz w:val="24"/>
                <w:szCs w:val="24"/>
                <w:color w:val="auto"/>
              </w:rPr>
            </w:pPr>
          </w:p>
        </w:tc>
        <w:tc>
          <w:tcPr>
            <w:tcW w:w="5820" w:type="dxa"/>
            <w:vAlign w:val="bottom"/>
            <w:gridSpan w:val="7"/>
          </w:tcPr>
          <w:p>
            <w:pPr>
              <w:jc w:val="center"/>
              <w:ind w:right="120"/>
              <w:spacing w:after="0"/>
              <w:rPr>
                <w:sz w:val="20"/>
                <w:szCs w:val="20"/>
                <w:color w:val="auto"/>
              </w:rPr>
            </w:pPr>
            <w:r>
              <w:rPr>
                <w:rFonts w:ascii="Arial" w:cs="Arial" w:eastAsia="Arial" w:hAnsi="Arial"/>
                <w:sz w:val="18"/>
                <w:szCs w:val="18"/>
                <w:color w:val="auto"/>
                <w:w w:val="90"/>
              </w:rPr>
              <w:t xml:space="preserve">Date of Report (date of earliest event reported): </w:t>
            </w:r>
            <w:r>
              <w:rPr>
                <w:rFonts w:ascii="Arial" w:cs="Arial" w:eastAsia="Arial" w:hAnsi="Arial"/>
                <w:sz w:val="18"/>
                <w:szCs w:val="18"/>
                <w:b w:val="1"/>
                <w:bCs w:val="1"/>
                <w:color w:val="auto"/>
                <w:w w:val="90"/>
              </w:rPr>
              <w:t>November 14, 2022</w:t>
            </w:r>
          </w:p>
        </w:tc>
        <w:tc>
          <w:tcPr>
            <w:tcW w:w="2640" w:type="dxa"/>
            <w:vAlign w:val="bottom"/>
          </w:tcPr>
          <w:p>
            <w:pPr>
              <w:spacing w:after="0"/>
              <w:rPr>
                <w:sz w:val="24"/>
                <w:szCs w:val="24"/>
                <w:color w:val="auto"/>
              </w:rPr>
            </w:pPr>
          </w:p>
        </w:tc>
      </w:tr>
      <w:tr>
        <w:trPr>
          <w:trHeight w:val="391"/>
        </w:trPr>
        <w:tc>
          <w:tcPr>
            <w:tcW w:w="27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3600" w:type="dxa"/>
            <w:vAlign w:val="bottom"/>
            <w:gridSpan w:val="4"/>
          </w:tcPr>
          <w:p>
            <w:pPr>
              <w:jc w:val="center"/>
              <w:ind w:right="2360"/>
              <w:spacing w:after="0"/>
              <w:rPr>
                <w:sz w:val="20"/>
                <w:szCs w:val="20"/>
                <w:color w:val="auto"/>
              </w:rPr>
            </w:pPr>
            <w:r>
              <w:rPr>
                <w:rFonts w:ascii="Arial" w:cs="Arial" w:eastAsia="Arial" w:hAnsi="Arial"/>
                <w:sz w:val="18"/>
                <w:szCs w:val="18"/>
                <w:b w:val="1"/>
                <w:bCs w:val="1"/>
                <w:color w:val="auto"/>
                <w:w w:val="99"/>
              </w:rPr>
              <w:t>NOCERA, INC.</w:t>
            </w:r>
          </w:p>
        </w:tc>
        <w:tc>
          <w:tcPr>
            <w:tcW w:w="2640" w:type="dxa"/>
            <w:vAlign w:val="bottom"/>
          </w:tcPr>
          <w:p>
            <w:pPr>
              <w:spacing w:after="0"/>
              <w:rPr>
                <w:sz w:val="24"/>
                <w:szCs w:val="24"/>
                <w:color w:val="auto"/>
              </w:rPr>
            </w:pPr>
          </w:p>
        </w:tc>
      </w:tr>
      <w:tr>
        <w:trPr>
          <w:trHeight w:val="20"/>
        </w:trPr>
        <w:tc>
          <w:tcPr>
            <w:tcW w:w="278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20" w:type="dxa"/>
            <w:vAlign w:val="bottom"/>
            <w:gridSpan w:val="2"/>
          </w:tcPr>
          <w:p>
            <w:pPr>
              <w:spacing w:after="0" w:line="20" w:lineRule="exact"/>
              <w:rPr>
                <w:sz w:val="1"/>
                <w:szCs w:val="1"/>
                <w:color w:val="auto"/>
              </w:rPr>
            </w:pPr>
          </w:p>
        </w:tc>
        <w:tc>
          <w:tcPr>
            <w:tcW w:w="1240" w:type="dxa"/>
            <w:vAlign w:val="bottom"/>
            <w:shd w:val="clear" w:color="auto" w:fill="000000"/>
          </w:tcPr>
          <w:p>
            <w:pPr>
              <w:spacing w:after="0" w:line="20" w:lineRule="exact"/>
              <w:rPr>
                <w:sz w:val="1"/>
                <w:szCs w:val="1"/>
                <w:color w:val="auto"/>
              </w:rPr>
            </w:pPr>
          </w:p>
        </w:tc>
        <w:tc>
          <w:tcPr>
            <w:tcW w:w="2360" w:type="dxa"/>
            <w:vAlign w:val="bottom"/>
            <w:gridSpan w:val="3"/>
          </w:tcPr>
          <w:p>
            <w:pPr>
              <w:spacing w:after="0" w:line="20" w:lineRule="exact"/>
              <w:rPr>
                <w:sz w:val="1"/>
                <w:szCs w:val="1"/>
                <w:color w:val="auto"/>
              </w:rPr>
            </w:pPr>
          </w:p>
        </w:tc>
        <w:tc>
          <w:tcPr>
            <w:tcW w:w="2640" w:type="dxa"/>
            <w:vAlign w:val="bottom"/>
          </w:tcPr>
          <w:p>
            <w:pPr>
              <w:spacing w:after="0" w:line="20" w:lineRule="exact"/>
              <w:rPr>
                <w:sz w:val="1"/>
                <w:szCs w:val="1"/>
                <w:color w:val="auto"/>
              </w:rPr>
            </w:pPr>
          </w:p>
        </w:tc>
      </w:tr>
      <w:tr>
        <w:trPr>
          <w:trHeight w:val="237"/>
        </w:trPr>
        <w:tc>
          <w:tcPr>
            <w:tcW w:w="27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220" w:type="dxa"/>
            <w:vAlign w:val="bottom"/>
            <w:gridSpan w:val="6"/>
          </w:tcPr>
          <w:p>
            <w:pPr>
              <w:jc w:val="center"/>
              <w:ind w:right="720"/>
              <w:spacing w:after="0"/>
              <w:rPr>
                <w:sz w:val="20"/>
                <w:szCs w:val="20"/>
                <w:color w:val="auto"/>
              </w:rPr>
            </w:pPr>
            <w:r>
              <w:rPr>
                <w:rFonts w:ascii="Arial" w:cs="Arial" w:eastAsia="Arial" w:hAnsi="Arial"/>
                <w:sz w:val="18"/>
                <w:szCs w:val="18"/>
                <w:color w:val="auto"/>
                <w:w w:val="90"/>
              </w:rPr>
              <w:t>(Exact name of registrant as specified in charter)</w:t>
            </w:r>
          </w:p>
        </w:tc>
        <w:tc>
          <w:tcPr>
            <w:tcW w:w="2640" w:type="dxa"/>
            <w:vAlign w:val="bottom"/>
          </w:tcPr>
          <w:p>
            <w:pPr>
              <w:spacing w:after="0"/>
              <w:rPr>
                <w:sz w:val="20"/>
                <w:szCs w:val="20"/>
                <w:color w:val="auto"/>
              </w:rPr>
            </w:pPr>
          </w:p>
        </w:tc>
      </w:tr>
      <w:tr>
        <w:trPr>
          <w:trHeight w:val="439"/>
        </w:trPr>
        <w:tc>
          <w:tcPr>
            <w:tcW w:w="2780" w:type="dxa"/>
            <w:vAlign w:val="bottom"/>
          </w:tcPr>
          <w:p>
            <w:pPr>
              <w:jc w:val="center"/>
              <w:ind w:left="510"/>
              <w:spacing w:after="0"/>
              <w:rPr>
                <w:sz w:val="20"/>
                <w:szCs w:val="20"/>
                <w:color w:val="auto"/>
              </w:rPr>
            </w:pPr>
            <w:r>
              <w:rPr>
                <w:rFonts w:ascii="Arial" w:cs="Arial" w:eastAsia="Arial" w:hAnsi="Arial"/>
                <w:sz w:val="18"/>
                <w:szCs w:val="18"/>
                <w:b w:val="1"/>
                <w:bCs w:val="1"/>
                <w:color w:val="auto"/>
                <w:w w:val="90"/>
              </w:rPr>
              <w:t>Nevada</w:t>
            </w:r>
          </w:p>
        </w:tc>
        <w:tc>
          <w:tcPr>
            <w:tcW w:w="3460" w:type="dxa"/>
            <w:vAlign w:val="bottom"/>
            <w:gridSpan w:val="4"/>
          </w:tcPr>
          <w:p>
            <w:pPr>
              <w:jc w:val="center"/>
              <w:ind w:left="2150"/>
              <w:spacing w:after="0"/>
              <w:rPr>
                <w:sz w:val="20"/>
                <w:szCs w:val="20"/>
                <w:color w:val="auto"/>
              </w:rPr>
            </w:pPr>
            <w:r>
              <w:rPr>
                <w:rFonts w:ascii="Arial" w:cs="Arial" w:eastAsia="Arial" w:hAnsi="Arial"/>
                <w:sz w:val="18"/>
                <w:szCs w:val="18"/>
                <w:b w:val="1"/>
                <w:bCs w:val="1"/>
                <w:color w:val="auto"/>
                <w:w w:val="90"/>
              </w:rPr>
              <w:t>001-41434</w:t>
            </w:r>
          </w:p>
        </w:tc>
        <w:tc>
          <w:tcPr>
            <w:tcW w:w="10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2640" w:type="dxa"/>
            <w:vAlign w:val="bottom"/>
          </w:tcPr>
          <w:p>
            <w:pPr>
              <w:jc w:val="center"/>
              <w:ind w:right="650"/>
              <w:spacing w:after="0"/>
              <w:rPr>
                <w:sz w:val="20"/>
                <w:szCs w:val="20"/>
                <w:color w:val="auto"/>
              </w:rPr>
            </w:pPr>
            <w:r>
              <w:rPr>
                <w:rFonts w:ascii="Arial" w:cs="Arial" w:eastAsia="Arial" w:hAnsi="Arial"/>
                <w:sz w:val="18"/>
                <w:szCs w:val="18"/>
                <w:b w:val="1"/>
                <w:bCs w:val="1"/>
                <w:color w:val="auto"/>
                <w:w w:val="89"/>
              </w:rPr>
              <w:t>16-1626611</w:t>
            </w:r>
          </w:p>
        </w:tc>
      </w:tr>
      <w:tr>
        <w:trPr>
          <w:trHeight w:val="202"/>
        </w:trPr>
        <w:tc>
          <w:tcPr>
            <w:tcW w:w="2780" w:type="dxa"/>
            <w:vAlign w:val="bottom"/>
            <w:tcBorders>
              <w:top w:val="single" w:sz="8" w:color="auto"/>
            </w:tcBorders>
          </w:tcPr>
          <w:p>
            <w:pPr>
              <w:jc w:val="center"/>
              <w:ind w:left="510"/>
              <w:spacing w:after="0" w:line="201" w:lineRule="exact"/>
              <w:rPr>
                <w:sz w:val="20"/>
                <w:szCs w:val="20"/>
                <w:color w:val="auto"/>
              </w:rPr>
            </w:pPr>
            <w:r>
              <w:rPr>
                <w:rFonts w:ascii="Arial" w:cs="Arial" w:eastAsia="Arial" w:hAnsi="Arial"/>
                <w:sz w:val="18"/>
                <w:szCs w:val="18"/>
                <w:color w:val="auto"/>
                <w:w w:val="92"/>
              </w:rPr>
              <w:t>(State or other jurisdiction</w:t>
            </w:r>
          </w:p>
        </w:tc>
        <w:tc>
          <w:tcPr>
            <w:tcW w:w="600" w:type="dxa"/>
            <w:vAlign w:val="bottom"/>
            <w:tcBorders>
              <w:top w:val="single" w:sz="8" w:color="auto"/>
            </w:tcBorders>
          </w:tcPr>
          <w:p>
            <w:pPr>
              <w:spacing w:after="0"/>
              <w:rPr>
                <w:sz w:val="17"/>
                <w:szCs w:val="17"/>
                <w:color w:val="auto"/>
              </w:rPr>
            </w:pPr>
          </w:p>
        </w:tc>
        <w:tc>
          <w:tcPr>
            <w:tcW w:w="560" w:type="dxa"/>
            <w:vAlign w:val="bottom"/>
          </w:tcPr>
          <w:p>
            <w:pPr>
              <w:spacing w:after="0"/>
              <w:rPr>
                <w:sz w:val="17"/>
                <w:szCs w:val="17"/>
                <w:color w:val="auto"/>
              </w:rPr>
            </w:pPr>
          </w:p>
        </w:tc>
        <w:tc>
          <w:tcPr>
            <w:tcW w:w="1060" w:type="dxa"/>
            <w:vAlign w:val="bottom"/>
            <w:tcBorders>
              <w:top w:val="single" w:sz="8" w:color="auto"/>
            </w:tcBorders>
          </w:tcPr>
          <w:p>
            <w:pPr>
              <w:spacing w:after="0"/>
              <w:rPr>
                <w:sz w:val="17"/>
                <w:szCs w:val="17"/>
                <w:color w:val="auto"/>
              </w:rPr>
            </w:pPr>
          </w:p>
        </w:tc>
        <w:tc>
          <w:tcPr>
            <w:tcW w:w="2320" w:type="dxa"/>
            <w:vAlign w:val="bottom"/>
            <w:tcBorders>
              <w:top w:val="single" w:sz="8" w:color="auto"/>
            </w:tcBorders>
            <w:gridSpan w:val="2"/>
          </w:tcPr>
          <w:p>
            <w:pPr>
              <w:jc w:val="center"/>
              <w:ind w:right="1040"/>
              <w:spacing w:after="0" w:line="201" w:lineRule="exact"/>
              <w:rPr>
                <w:sz w:val="20"/>
                <w:szCs w:val="20"/>
                <w:color w:val="auto"/>
              </w:rPr>
            </w:pPr>
            <w:r>
              <w:rPr>
                <w:rFonts w:ascii="Arial" w:cs="Arial" w:eastAsia="Arial" w:hAnsi="Arial"/>
                <w:sz w:val="18"/>
                <w:szCs w:val="18"/>
                <w:color w:val="auto"/>
                <w:w w:val="91"/>
              </w:rPr>
              <w:t>(Commission</w:t>
            </w:r>
          </w:p>
        </w:tc>
        <w:tc>
          <w:tcPr>
            <w:tcW w:w="560" w:type="dxa"/>
            <w:vAlign w:val="bottom"/>
          </w:tcPr>
          <w:p>
            <w:pPr>
              <w:spacing w:after="0"/>
              <w:rPr>
                <w:sz w:val="17"/>
                <w:szCs w:val="17"/>
                <w:color w:val="auto"/>
              </w:rPr>
            </w:pPr>
          </w:p>
        </w:tc>
        <w:tc>
          <w:tcPr>
            <w:tcW w:w="720" w:type="dxa"/>
            <w:vAlign w:val="bottom"/>
            <w:tcBorders>
              <w:top w:val="single" w:sz="8" w:color="auto"/>
            </w:tcBorders>
          </w:tcPr>
          <w:p>
            <w:pPr>
              <w:spacing w:after="0"/>
              <w:rPr>
                <w:sz w:val="17"/>
                <w:szCs w:val="17"/>
                <w:color w:val="auto"/>
              </w:rPr>
            </w:pPr>
          </w:p>
        </w:tc>
        <w:tc>
          <w:tcPr>
            <w:tcW w:w="2640" w:type="dxa"/>
            <w:vAlign w:val="bottom"/>
            <w:tcBorders>
              <w:top w:val="single" w:sz="8" w:color="auto"/>
            </w:tcBorders>
          </w:tcPr>
          <w:p>
            <w:pPr>
              <w:jc w:val="center"/>
              <w:ind w:right="630"/>
              <w:spacing w:after="0" w:line="201" w:lineRule="exact"/>
              <w:rPr>
                <w:sz w:val="20"/>
                <w:szCs w:val="20"/>
                <w:color w:val="auto"/>
              </w:rPr>
            </w:pPr>
            <w:r>
              <w:rPr>
                <w:rFonts w:ascii="Arial" w:cs="Arial" w:eastAsia="Arial" w:hAnsi="Arial"/>
                <w:sz w:val="18"/>
                <w:szCs w:val="18"/>
                <w:color w:val="auto"/>
                <w:w w:val="92"/>
              </w:rPr>
              <w:t>(IRS Employer</w:t>
            </w:r>
          </w:p>
        </w:tc>
      </w:tr>
      <w:tr>
        <w:trPr>
          <w:trHeight w:val="230"/>
        </w:trPr>
        <w:tc>
          <w:tcPr>
            <w:tcW w:w="2780" w:type="dxa"/>
            <w:vAlign w:val="bottom"/>
          </w:tcPr>
          <w:p>
            <w:pPr>
              <w:jc w:val="center"/>
              <w:ind w:left="510"/>
              <w:spacing w:after="0"/>
              <w:rPr>
                <w:sz w:val="20"/>
                <w:szCs w:val="20"/>
                <w:color w:val="auto"/>
              </w:rPr>
            </w:pPr>
            <w:r>
              <w:rPr>
                <w:rFonts w:ascii="Arial" w:cs="Arial" w:eastAsia="Arial" w:hAnsi="Arial"/>
                <w:sz w:val="18"/>
                <w:szCs w:val="18"/>
                <w:color w:val="auto"/>
                <w:w w:val="93"/>
              </w:rPr>
              <w:t>of incorporation)</w:t>
            </w:r>
          </w:p>
        </w:tc>
        <w:tc>
          <w:tcPr>
            <w:tcW w:w="60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3600" w:type="dxa"/>
            <w:vAlign w:val="bottom"/>
            <w:gridSpan w:val="4"/>
          </w:tcPr>
          <w:p>
            <w:pPr>
              <w:jc w:val="center"/>
              <w:ind w:right="2320"/>
              <w:spacing w:after="0"/>
              <w:rPr>
                <w:sz w:val="20"/>
                <w:szCs w:val="20"/>
                <w:color w:val="auto"/>
              </w:rPr>
            </w:pPr>
            <w:r>
              <w:rPr>
                <w:rFonts w:ascii="Arial" w:cs="Arial" w:eastAsia="Arial" w:hAnsi="Arial"/>
                <w:sz w:val="18"/>
                <w:szCs w:val="18"/>
                <w:color w:val="auto"/>
                <w:w w:val="92"/>
              </w:rPr>
              <w:t>File Number)</w:t>
            </w:r>
          </w:p>
        </w:tc>
        <w:tc>
          <w:tcPr>
            <w:tcW w:w="2640" w:type="dxa"/>
            <w:vAlign w:val="bottom"/>
          </w:tcPr>
          <w:p>
            <w:pPr>
              <w:jc w:val="center"/>
              <w:ind w:right="650"/>
              <w:spacing w:after="0"/>
              <w:rPr>
                <w:sz w:val="20"/>
                <w:szCs w:val="20"/>
                <w:color w:val="auto"/>
              </w:rPr>
            </w:pPr>
            <w:r>
              <w:rPr>
                <w:rFonts w:ascii="Arial" w:cs="Arial" w:eastAsia="Arial" w:hAnsi="Arial"/>
                <w:sz w:val="18"/>
                <w:szCs w:val="18"/>
                <w:color w:val="auto"/>
                <w:w w:val="95"/>
              </w:rPr>
              <w:t>Identification No.)</w:t>
            </w:r>
          </w:p>
        </w:tc>
      </w:tr>
    </w:tbl>
    <w:p>
      <w:pPr>
        <w:spacing w:after="0" w:line="198" w:lineRule="exact"/>
        <w:rPr>
          <w:sz w:val="24"/>
          <w:szCs w:val="24"/>
          <w:color w:val="auto"/>
        </w:rPr>
      </w:pPr>
    </w:p>
    <w:p>
      <w:pPr>
        <w:jc w:val="center"/>
        <w:spacing w:after="0"/>
        <w:rPr>
          <w:sz w:val="20"/>
          <w:szCs w:val="20"/>
          <w:color w:val="auto"/>
        </w:rPr>
      </w:pPr>
      <w:r>
        <w:rPr>
          <w:rFonts w:ascii="Arial" w:cs="Arial" w:eastAsia="Arial" w:hAnsi="Arial"/>
          <w:sz w:val="18"/>
          <w:szCs w:val="18"/>
          <w:b w:val="1"/>
          <w:bCs w:val="1"/>
          <w:u w:val="single" w:color="auto"/>
          <w:color w:val="auto"/>
        </w:rPr>
        <w:t>3F (Building B), No. 185, Sec. 1, Datong Rd., Xizhi Dist., New Taipei City Taiwan 221, ROC</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(Address of principal executive offices and zip code)</w:t>
      </w:r>
    </w:p>
    <w:p>
      <w:pPr>
        <w:spacing w:after="0" w:line="207" w:lineRule="exact"/>
        <w:rPr>
          <w:sz w:val="24"/>
          <w:szCs w:val="24"/>
          <w:color w:val="auto"/>
        </w:rPr>
      </w:pPr>
    </w:p>
    <w:p>
      <w:pPr>
        <w:jc w:val="center"/>
        <w:spacing w:after="0"/>
        <w:rPr>
          <w:sz w:val="20"/>
          <w:szCs w:val="20"/>
          <w:color w:val="auto"/>
        </w:rPr>
      </w:pPr>
      <w:r>
        <w:rPr>
          <w:rFonts w:ascii="Arial" w:cs="Arial" w:eastAsia="Arial" w:hAnsi="Arial"/>
          <w:sz w:val="18"/>
          <w:szCs w:val="18"/>
          <w:b w:val="1"/>
          <w:bCs w:val="1"/>
          <w:u w:val="single" w:color="auto"/>
          <w:color w:val="auto"/>
        </w:rPr>
        <w:t>(886) 910-163-358</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(Registrant’s telephone number, including area code)</w:t>
      </w:r>
    </w:p>
    <w:p>
      <w:pPr>
        <w:spacing w:after="0" w:line="207"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N/A</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(Former name or former address, if changed since last report)</w:t>
      </w:r>
    </w:p>
    <w:p>
      <w:pPr>
        <w:spacing w:after="0" w:line="211" w:lineRule="exact"/>
        <w:rPr>
          <w:sz w:val="24"/>
          <w:szCs w:val="24"/>
          <w:color w:val="auto"/>
        </w:rPr>
      </w:pPr>
    </w:p>
    <w:p>
      <w:pPr>
        <w:jc w:val="both"/>
        <w:spacing w:after="0" w:line="277" w:lineRule="auto"/>
        <w:rPr>
          <w:sz w:val="20"/>
          <w:szCs w:val="20"/>
          <w:color w:val="auto"/>
        </w:rPr>
      </w:pPr>
      <w:r>
        <w:rPr>
          <w:rFonts w:ascii="Arial" w:cs="Arial" w:eastAsia="Arial" w:hAnsi="Arial"/>
          <w:sz w:val="18"/>
          <w:szCs w:val="18"/>
          <w:color w:val="auto"/>
        </w:rPr>
        <w:t>Check the appropriate box below if the Form 8-K filing is intended to simultaneously satisfy the filing obligation of registrant under any of the following provisions:</w:t>
      </w:r>
    </w:p>
    <w:p>
      <w:pPr>
        <w:spacing w:after="0" w:line="170" w:lineRule="exact"/>
        <w:rPr>
          <w:sz w:val="24"/>
          <w:szCs w:val="24"/>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right="2980" w:firstLine="8"/>
        <w:spacing w:after="0" w:line="498" w:lineRule="auto"/>
        <w:tabs>
          <w:tab w:leader="none" w:pos="207"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Pre-commencement communications pursuant to Rule 13e-4(c) under the Exchange Act (17 CFR 240.13e-4(c)) Securities registered pursuant to Section 12(b) of the Act: None</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234"/>
        </w:trPr>
        <w:tc>
          <w:tcPr>
            <w:tcW w:w="3780" w:type="dxa"/>
            <w:vAlign w:val="bottom"/>
            <w:tcBorders>
              <w:bottom w:val="single" w:sz="8" w:color="auto"/>
            </w:tcBorders>
          </w:tcPr>
          <w:p>
            <w:pPr>
              <w:jc w:val="center"/>
              <w:spacing w:after="0"/>
              <w:rPr>
                <w:sz w:val="20"/>
                <w:szCs w:val="20"/>
                <w:color w:val="auto"/>
              </w:rPr>
            </w:pPr>
            <w:r>
              <w:rPr>
                <w:rFonts w:ascii="Arial" w:cs="Arial" w:eastAsia="Arial" w:hAnsi="Arial"/>
                <w:sz w:val="18"/>
                <w:szCs w:val="18"/>
                <w:b w:val="1"/>
                <w:bCs w:val="1"/>
                <w:color w:val="auto"/>
                <w:w w:val="87"/>
              </w:rPr>
              <w:t>Title of each class</w:t>
            </w:r>
          </w:p>
        </w:tc>
        <w:tc>
          <w:tcPr>
            <w:tcW w:w="3180" w:type="dxa"/>
            <w:vAlign w:val="bottom"/>
            <w:tcBorders>
              <w:bottom w:val="single" w:sz="8" w:color="auto"/>
            </w:tcBorders>
          </w:tcPr>
          <w:p>
            <w:pPr>
              <w:jc w:val="center"/>
              <w:ind w:left="410"/>
              <w:spacing w:after="0"/>
              <w:rPr>
                <w:sz w:val="20"/>
                <w:szCs w:val="20"/>
                <w:color w:val="auto"/>
              </w:rPr>
            </w:pPr>
            <w:r>
              <w:rPr>
                <w:rFonts w:ascii="Arial" w:cs="Arial" w:eastAsia="Arial" w:hAnsi="Arial"/>
                <w:sz w:val="18"/>
                <w:szCs w:val="18"/>
                <w:b w:val="1"/>
                <w:bCs w:val="1"/>
                <w:color w:val="auto"/>
                <w:w w:val="91"/>
              </w:rPr>
              <w:t>Trading Symbol</w:t>
            </w:r>
          </w:p>
        </w:tc>
        <w:tc>
          <w:tcPr>
            <w:tcW w:w="4280" w:type="dxa"/>
            <w:vAlign w:val="bottom"/>
            <w:tcBorders>
              <w:bottom w:val="single" w:sz="8" w:color="auto"/>
            </w:tcBorders>
          </w:tcPr>
          <w:p>
            <w:pPr>
              <w:jc w:val="center"/>
              <w:ind w:left="450"/>
              <w:spacing w:after="0"/>
              <w:rPr>
                <w:sz w:val="20"/>
                <w:szCs w:val="20"/>
                <w:color w:val="auto"/>
              </w:rPr>
            </w:pPr>
            <w:r>
              <w:rPr>
                <w:rFonts w:ascii="Arial" w:cs="Arial" w:eastAsia="Arial" w:hAnsi="Arial"/>
                <w:sz w:val="18"/>
                <w:szCs w:val="18"/>
                <w:b w:val="1"/>
                <w:bCs w:val="1"/>
                <w:color w:val="auto"/>
                <w:w w:val="87"/>
              </w:rPr>
              <w:t>Name of each exchange on which registered</w:t>
            </w:r>
          </w:p>
        </w:tc>
      </w:tr>
      <w:tr>
        <w:trPr>
          <w:trHeight w:val="224"/>
        </w:trPr>
        <w:tc>
          <w:tcPr>
            <w:tcW w:w="3780" w:type="dxa"/>
            <w:vAlign w:val="bottom"/>
          </w:tcPr>
          <w:p>
            <w:pPr>
              <w:jc w:val="center"/>
              <w:spacing w:after="0"/>
              <w:rPr>
                <w:sz w:val="20"/>
                <w:szCs w:val="20"/>
                <w:color w:val="auto"/>
              </w:rPr>
            </w:pPr>
            <w:r>
              <w:rPr>
                <w:rFonts w:ascii="Arial" w:cs="Arial" w:eastAsia="Arial" w:hAnsi="Arial"/>
                <w:sz w:val="18"/>
                <w:szCs w:val="18"/>
                <w:color w:val="auto"/>
                <w:w w:val="90"/>
              </w:rPr>
              <w:t>Common Stock</w:t>
            </w:r>
          </w:p>
        </w:tc>
        <w:tc>
          <w:tcPr>
            <w:tcW w:w="3180" w:type="dxa"/>
            <w:vAlign w:val="bottom"/>
          </w:tcPr>
          <w:p>
            <w:pPr>
              <w:jc w:val="center"/>
              <w:ind w:left="390"/>
              <w:spacing w:after="0"/>
              <w:rPr>
                <w:sz w:val="20"/>
                <w:szCs w:val="20"/>
                <w:color w:val="auto"/>
              </w:rPr>
            </w:pPr>
            <w:r>
              <w:rPr>
                <w:rFonts w:ascii="Arial" w:cs="Arial" w:eastAsia="Arial" w:hAnsi="Arial"/>
                <w:sz w:val="18"/>
                <w:szCs w:val="18"/>
                <w:color w:val="auto"/>
                <w:w w:val="97"/>
              </w:rPr>
              <w:t>NCRA</w:t>
            </w:r>
          </w:p>
        </w:tc>
        <w:tc>
          <w:tcPr>
            <w:tcW w:w="4280" w:type="dxa"/>
            <w:vAlign w:val="bottom"/>
          </w:tcPr>
          <w:p>
            <w:pPr>
              <w:jc w:val="center"/>
              <w:ind w:left="450"/>
              <w:spacing w:after="0"/>
              <w:rPr>
                <w:sz w:val="20"/>
                <w:szCs w:val="20"/>
                <w:color w:val="auto"/>
              </w:rPr>
            </w:pPr>
            <w:r>
              <w:rPr>
                <w:rFonts w:ascii="Arial" w:cs="Arial" w:eastAsia="Arial" w:hAnsi="Arial"/>
                <w:sz w:val="18"/>
                <w:szCs w:val="18"/>
                <w:color w:val="auto"/>
                <w:w w:val="92"/>
              </w:rPr>
              <w:t>The Nasdaq Capital Market LLC</w:t>
            </w:r>
          </w:p>
        </w:tc>
      </w:tr>
    </w:tbl>
    <w:p>
      <w:pPr>
        <w:spacing w:after="0" w:line="187" w:lineRule="exact"/>
        <w:rPr>
          <w:sz w:val="24"/>
          <w:szCs w:val="24"/>
          <w:color w:val="auto"/>
        </w:rPr>
      </w:pPr>
    </w:p>
    <w:p>
      <w:pPr>
        <w:jc w:val="both"/>
        <w:ind w:right="20"/>
        <w:spacing w:after="0" w:line="277" w:lineRule="auto"/>
        <w:rPr>
          <w:sz w:val="20"/>
          <w:szCs w:val="20"/>
          <w:color w:val="auto"/>
        </w:rPr>
      </w:pPr>
      <w:r>
        <w:rPr>
          <w:rFonts w:ascii="Arial" w:cs="Arial" w:eastAsia="Arial" w:hAnsi="Arial"/>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38" w:lineRule="exact"/>
        <w:rPr>
          <w:sz w:val="24"/>
          <w:szCs w:val="24"/>
          <w:color w:val="auto"/>
        </w:rPr>
      </w:pPr>
    </w:p>
    <w:p>
      <w:pPr>
        <w:ind w:left="9060"/>
        <w:spacing w:after="0" w:line="184" w:lineRule="exact"/>
        <w:rPr>
          <w:sz w:val="20"/>
          <w:szCs w:val="20"/>
          <w:color w:val="auto"/>
        </w:rPr>
      </w:pPr>
      <w:r>
        <w:rPr>
          <w:rFonts w:ascii="Arial" w:cs="Arial" w:eastAsia="Arial" w:hAnsi="Arial"/>
          <w:sz w:val="16"/>
          <w:szCs w:val="16"/>
          <w:color w:val="auto"/>
        </w:rPr>
        <w:t xml:space="preserve">Emerging growth company </w:t>
      </w:r>
      <w:r>
        <w:rPr>
          <w:rFonts w:ascii="MS PGothic" w:cs="MS PGothic" w:eastAsia="MS PGothic" w:hAnsi="MS PGothic"/>
          <w:sz w:val="16"/>
          <w:szCs w:val="16"/>
          <w:color w:val="auto"/>
        </w:rPr>
        <w:t>☒</w:t>
      </w:r>
    </w:p>
    <w:p>
      <w:pPr>
        <w:spacing w:after="0" w:line="281" w:lineRule="exact"/>
        <w:rPr>
          <w:sz w:val="24"/>
          <w:szCs w:val="24"/>
          <w:color w:val="auto"/>
        </w:rPr>
      </w:pPr>
    </w:p>
    <w:p>
      <w:pPr>
        <w:jc w:val="both"/>
        <w:spacing w:after="0" w:line="233" w:lineRule="exact"/>
        <w:rPr>
          <w:sz w:val="20"/>
          <w:szCs w:val="20"/>
          <w:color w:val="auto"/>
        </w:rPr>
      </w:pPr>
      <w:r>
        <w:rPr>
          <w:rFonts w:ascii="Arial" w:cs="Arial" w:eastAsia="Arial" w:hAnsi="Arial"/>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279400</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sectPr>
      </w:pPr>
    </w:p>
    <w:bookmarkStart w:id="1" w:name="page2"/>
    <w:bookmarkEnd w:id="1"/>
    <w:p>
      <w:pPr>
        <w:spacing w:after="0"/>
        <w:rPr>
          <w:sz w:val="20"/>
          <w:szCs w:val="20"/>
          <w:color w:val="auto"/>
        </w:rPr>
      </w:pPr>
      <w:r>
        <w:rPr>
          <w:rFonts w:ascii="Arial" w:cs="Arial" w:eastAsia="Arial" w:hAnsi="Arial"/>
          <w:sz w:val="18"/>
          <w:szCs w:val="18"/>
          <w:b w:val="1"/>
          <w:bCs w:val="1"/>
          <w:color w:val="auto"/>
        </w:rPr>
        <w:t>Item 8.01 Other Events.</w:t>
      </w:r>
    </w:p>
    <w:p>
      <w:pPr>
        <w:spacing w:after="0" w:line="229"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As previously reported on a Current Report on Form 8-K of Nocera, Inc., a Nevada corporation (the “Company”), filed with the Securities and Exchange Commission on August 16, 2022, the Company consummated a public offering of 1,880,000 units (the “Units”) pursuant to an effective Registration Statement on Form S-1, as amended (File No. 333-264059), originally filed with the Securities and Exchange Commission (the “SEC”) on April 1, 2022, and declared effective by the SEC on August 10, 2022.</w:t>
      </w:r>
    </w:p>
    <w:p>
      <w:pPr>
        <w:spacing w:after="0" w:line="187" w:lineRule="exact"/>
        <w:rPr>
          <w:sz w:val="20"/>
          <w:szCs w:val="20"/>
          <w:color w:val="auto"/>
        </w:rPr>
      </w:pPr>
    </w:p>
    <w:p>
      <w:pPr>
        <w:jc w:val="both"/>
        <w:spacing w:after="0" w:line="311" w:lineRule="auto"/>
        <w:rPr>
          <w:sz w:val="20"/>
          <w:szCs w:val="20"/>
          <w:color w:val="auto"/>
        </w:rPr>
      </w:pPr>
      <w:r>
        <w:rPr>
          <w:rFonts w:ascii="Arial" w:cs="Arial" w:eastAsia="Arial" w:hAnsi="Arial"/>
          <w:sz w:val="16"/>
          <w:szCs w:val="16"/>
          <w:color w:val="auto"/>
        </w:rPr>
        <w:t>Each Unit consisted of one share of common stock, par value $0.001 per share (the “Common Stock”), and one warrant to purchase two shares of Common Stock (the “Warrants”) until August 16, 2027 (the fifth anniversary of the date of issuance) for $3.85 per share, subject to adjustment in the event of stock dividends, stock splits, stock combinations, reclassifications, reorganizations or similar events affecting the Common Stock as described in the Warrants.</w:t>
      </w:r>
    </w:p>
    <w:p>
      <w:pPr>
        <w:spacing w:after="0" w:line="149" w:lineRule="exact"/>
        <w:rPr>
          <w:sz w:val="20"/>
          <w:szCs w:val="20"/>
          <w:color w:val="auto"/>
        </w:rPr>
      </w:pPr>
    </w:p>
    <w:p>
      <w:pPr>
        <w:jc w:val="both"/>
        <w:spacing w:after="0" w:line="231" w:lineRule="auto"/>
        <w:rPr>
          <w:sz w:val="20"/>
          <w:szCs w:val="20"/>
          <w:color w:val="auto"/>
        </w:rPr>
      </w:pPr>
      <w:r>
        <w:rPr>
          <w:rFonts w:ascii="Arial" w:cs="Arial" w:eastAsia="Arial" w:hAnsi="Arial"/>
          <w:sz w:val="18"/>
          <w:szCs w:val="18"/>
          <w:color w:val="auto"/>
        </w:rPr>
        <w:t>Under the terms of the Warrants, the exercise price shall be decreased to the greater of (i) $1.925, which represents 50% of the exercise price and (ii) 100% of the last volume weighted average price immediately preceding the 90</w:t>
      </w:r>
      <w:r>
        <w:rPr>
          <w:rFonts w:ascii="Arial" w:cs="Arial" w:eastAsia="Arial" w:hAnsi="Arial"/>
          <w:sz w:val="29"/>
          <w:szCs w:val="29"/>
          <w:color w:val="auto"/>
          <w:vertAlign w:val="superscript"/>
        </w:rPr>
        <w:t>th</w:t>
      </w:r>
      <w:r>
        <w:rPr>
          <w:rFonts w:ascii="Arial" w:cs="Arial" w:eastAsia="Arial" w:hAnsi="Arial"/>
          <w:sz w:val="18"/>
          <w:szCs w:val="18"/>
          <w:color w:val="auto"/>
        </w:rPr>
        <w:t xml:space="preserve"> calendar day following the initial issuance date (the greater of (i) and (ii), the “Reset Price”) if, on the date that is 90 calendar days immediately following the initial issuance date, the Reset Price is less than the exercise price on that date.</w:t>
      </w:r>
    </w:p>
    <w:p>
      <w:pPr>
        <w:spacing w:after="0" w:line="202" w:lineRule="exact"/>
        <w:rPr>
          <w:sz w:val="20"/>
          <w:szCs w:val="20"/>
          <w:color w:val="auto"/>
        </w:rPr>
      </w:pPr>
    </w:p>
    <w:p>
      <w:pPr>
        <w:jc w:val="both"/>
        <w:spacing w:after="0" w:line="342" w:lineRule="auto"/>
        <w:rPr>
          <w:sz w:val="20"/>
          <w:szCs w:val="20"/>
          <w:color w:val="auto"/>
        </w:rPr>
      </w:pPr>
      <w:r>
        <w:rPr>
          <w:rFonts w:ascii="Arial" w:cs="Arial" w:eastAsia="Arial" w:hAnsi="Arial"/>
          <w:sz w:val="16"/>
          <w:szCs w:val="16"/>
          <w:color w:val="auto"/>
        </w:rPr>
        <w:t>On November 14, 2022, the exercise price decreased to $1.925. The reset exercise price remains subject to adjustment in the event of stock dividends, stock splits, stock combinations, reclassifications, reorganizations or similar events affecting the Common Stock as described in the Warrants.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2" w:name="page3"/>
    <w:bookmarkEnd w:id="2"/>
    <w:p>
      <w:pPr>
        <w:jc w:val="center"/>
        <w:ind w:right="-319"/>
        <w:spacing w:after="0"/>
        <w:rPr>
          <w:sz w:val="20"/>
          <w:szCs w:val="20"/>
          <w:color w:val="auto"/>
        </w:rPr>
      </w:pPr>
      <w:r>
        <w:rPr>
          <w:rFonts w:ascii="Arial" w:cs="Arial" w:eastAsia="Arial" w:hAnsi="Arial"/>
          <w:sz w:val="18"/>
          <w:szCs w:val="18"/>
          <w:b w:val="1"/>
          <w:bCs w:val="1"/>
          <w:color w:val="auto"/>
        </w:rPr>
        <w:t>SIGNATURES</w:t>
      </w:r>
    </w:p>
    <w:p>
      <w:pPr>
        <w:spacing w:after="0" w:line="229" w:lineRule="exact"/>
        <w:rPr>
          <w:sz w:val="20"/>
          <w:szCs w:val="20"/>
          <w:color w:val="auto"/>
        </w:rPr>
      </w:pPr>
    </w:p>
    <w:p>
      <w:pPr>
        <w:ind w:firstLine="648"/>
        <w:spacing w:after="0" w:line="277" w:lineRule="auto"/>
        <w:rPr>
          <w:sz w:val="20"/>
          <w:szCs w:val="20"/>
          <w:color w:val="auto"/>
        </w:rPr>
      </w:pPr>
      <w:r>
        <w:rPr>
          <w:rFonts w:ascii="Arial" w:cs="Arial" w:eastAsia="Arial" w:hAnsi="Arial"/>
          <w:sz w:val="18"/>
          <w:szCs w:val="18"/>
          <w:color w:val="auto"/>
        </w:rPr>
        <w:t>Pursuant to the requirements of the Securities Exchange Act of 1934, the registrant has duly caused this report to be signed on its behalf by the undersigned hereunto duly authorized.</w:t>
      </w:r>
    </w:p>
    <w:p>
      <w:pPr>
        <w:spacing w:after="0" w:line="382"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3760" w:type="dxa"/>
            <w:vAlign w:val="bottom"/>
          </w:tcPr>
          <w:p>
            <w:pPr>
              <w:spacing w:after="0"/>
              <w:rPr>
                <w:sz w:val="20"/>
                <w:szCs w:val="20"/>
                <w:color w:val="auto"/>
              </w:rPr>
            </w:pPr>
          </w:p>
        </w:tc>
        <w:tc>
          <w:tcPr>
            <w:tcW w:w="5040" w:type="dxa"/>
            <w:vAlign w:val="bottom"/>
            <w:gridSpan w:val="3"/>
          </w:tcPr>
          <w:p>
            <w:pPr>
              <w:ind w:left="1860"/>
              <w:spacing w:after="0"/>
              <w:rPr>
                <w:sz w:val="20"/>
                <w:szCs w:val="20"/>
                <w:color w:val="auto"/>
              </w:rPr>
            </w:pPr>
            <w:r>
              <w:rPr>
                <w:rFonts w:ascii="Arial" w:cs="Arial" w:eastAsia="Arial" w:hAnsi="Arial"/>
                <w:sz w:val="18"/>
                <w:szCs w:val="18"/>
                <w:b w:val="1"/>
                <w:bCs w:val="1"/>
                <w:color w:val="auto"/>
              </w:rPr>
              <w:t>NOCERA, INC.</w:t>
            </w:r>
          </w:p>
        </w:tc>
      </w:tr>
      <w:tr>
        <w:trPr>
          <w:trHeight w:val="391"/>
        </w:trPr>
        <w:tc>
          <w:tcPr>
            <w:tcW w:w="3760" w:type="dxa"/>
            <w:vAlign w:val="bottom"/>
          </w:tcPr>
          <w:p>
            <w:pPr>
              <w:spacing w:after="0"/>
              <w:rPr>
                <w:sz w:val="20"/>
                <w:szCs w:val="20"/>
                <w:color w:val="auto"/>
              </w:rPr>
            </w:pPr>
            <w:r>
              <w:rPr>
                <w:rFonts w:ascii="Arial" w:cs="Arial" w:eastAsia="Arial" w:hAnsi="Arial"/>
                <w:sz w:val="18"/>
                <w:szCs w:val="18"/>
                <w:color w:val="auto"/>
              </w:rPr>
              <w:t>Date: November 18, 2022</w:t>
            </w:r>
          </w:p>
        </w:tc>
        <w:tc>
          <w:tcPr>
            <w:tcW w:w="5040" w:type="dxa"/>
            <w:vAlign w:val="bottom"/>
            <w:gridSpan w:val="3"/>
          </w:tcPr>
          <w:p>
            <w:pPr>
              <w:ind w:left="1860"/>
              <w:spacing w:after="0"/>
              <w:rPr>
                <w:sz w:val="20"/>
                <w:szCs w:val="20"/>
                <w:color w:val="auto"/>
              </w:rPr>
            </w:pPr>
            <w:r>
              <w:rPr>
                <w:rFonts w:ascii="Arial" w:cs="Arial" w:eastAsia="Arial" w:hAnsi="Arial"/>
                <w:sz w:val="18"/>
                <w:szCs w:val="18"/>
                <w:color w:val="auto"/>
              </w:rPr>
              <w:t xml:space="preserve">By: </w:t>
            </w:r>
            <w:r>
              <w:rPr>
                <w:rFonts w:ascii="Arial" w:cs="Arial" w:eastAsia="Arial" w:hAnsi="Arial"/>
                <w:sz w:val="18"/>
                <w:szCs w:val="18"/>
                <w:i w:val="1"/>
                <w:iCs w:val="1"/>
                <w:color w:val="auto"/>
              </w:rPr>
              <w:t>/s/ Yin-Chieh Cheng</w:t>
            </w:r>
          </w:p>
        </w:tc>
      </w:tr>
      <w:tr>
        <w:trPr>
          <w:trHeight w:val="20"/>
        </w:trPr>
        <w:tc>
          <w:tcPr>
            <w:tcW w:w="3760" w:type="dxa"/>
            <w:vAlign w:val="bottom"/>
          </w:tcPr>
          <w:p>
            <w:pPr>
              <w:spacing w:after="0" w:line="20" w:lineRule="exact"/>
              <w:rPr>
                <w:sz w:val="1"/>
                <w:szCs w:val="1"/>
                <w:color w:val="auto"/>
              </w:rPr>
            </w:pPr>
          </w:p>
        </w:tc>
        <w:tc>
          <w:tcPr>
            <w:tcW w:w="2160" w:type="dxa"/>
            <w:vAlign w:val="bottom"/>
          </w:tcPr>
          <w:p>
            <w:pPr>
              <w:spacing w:after="0" w:line="20" w:lineRule="exact"/>
              <w:rPr>
                <w:sz w:val="1"/>
                <w:szCs w:val="1"/>
                <w:color w:val="auto"/>
              </w:rPr>
            </w:pPr>
          </w:p>
        </w:tc>
        <w:tc>
          <w:tcPr>
            <w:tcW w:w="1460" w:type="dxa"/>
            <w:vAlign w:val="bottom"/>
            <w:shd w:val="clear" w:color="auto" w:fill="000000"/>
          </w:tcPr>
          <w:p>
            <w:pPr>
              <w:spacing w:after="0" w:line="20" w:lineRule="exact"/>
              <w:rPr>
                <w:sz w:val="1"/>
                <w:szCs w:val="1"/>
                <w:color w:val="auto"/>
              </w:rPr>
            </w:pPr>
          </w:p>
        </w:tc>
        <w:tc>
          <w:tcPr>
            <w:tcW w:w="1420" w:type="dxa"/>
            <w:vAlign w:val="bottom"/>
          </w:tcPr>
          <w:p>
            <w:pPr>
              <w:spacing w:after="0" w:line="20" w:lineRule="exact"/>
              <w:rPr>
                <w:sz w:val="1"/>
                <w:szCs w:val="1"/>
                <w:color w:val="auto"/>
              </w:rPr>
            </w:pPr>
          </w:p>
        </w:tc>
      </w:tr>
      <w:tr>
        <w:trPr>
          <w:trHeight w:val="222"/>
        </w:trPr>
        <w:tc>
          <w:tcPr>
            <w:tcW w:w="3760" w:type="dxa"/>
            <w:vAlign w:val="bottom"/>
          </w:tcPr>
          <w:p>
            <w:pPr>
              <w:spacing w:after="0"/>
              <w:rPr>
                <w:sz w:val="19"/>
                <w:szCs w:val="19"/>
                <w:color w:val="auto"/>
              </w:rPr>
            </w:pPr>
          </w:p>
        </w:tc>
        <w:tc>
          <w:tcPr>
            <w:tcW w:w="5040" w:type="dxa"/>
            <w:vAlign w:val="bottom"/>
            <w:gridSpan w:val="3"/>
          </w:tcPr>
          <w:p>
            <w:pPr>
              <w:ind w:left="1860"/>
              <w:spacing w:after="0"/>
              <w:rPr>
                <w:sz w:val="20"/>
                <w:szCs w:val="20"/>
                <w:color w:val="auto"/>
              </w:rPr>
            </w:pPr>
            <w:r>
              <w:rPr>
                <w:rFonts w:ascii="Arial" w:cs="Arial" w:eastAsia="Arial" w:hAnsi="Arial"/>
                <w:sz w:val="18"/>
                <w:szCs w:val="18"/>
                <w:color w:val="auto"/>
              </w:rPr>
              <w:t>Name: Yin-Chieh Cheng</w:t>
            </w:r>
          </w:p>
        </w:tc>
      </w:tr>
      <w:tr>
        <w:trPr>
          <w:trHeight w:val="230"/>
        </w:trPr>
        <w:tc>
          <w:tcPr>
            <w:tcW w:w="3760" w:type="dxa"/>
            <w:vAlign w:val="bottom"/>
          </w:tcPr>
          <w:p>
            <w:pPr>
              <w:spacing w:after="0"/>
              <w:rPr>
                <w:sz w:val="20"/>
                <w:szCs w:val="20"/>
                <w:color w:val="auto"/>
              </w:rPr>
            </w:pPr>
          </w:p>
        </w:tc>
        <w:tc>
          <w:tcPr>
            <w:tcW w:w="5040" w:type="dxa"/>
            <w:vAlign w:val="bottom"/>
            <w:gridSpan w:val="3"/>
          </w:tcPr>
          <w:p>
            <w:pPr>
              <w:ind w:left="1860"/>
              <w:spacing w:after="0"/>
              <w:rPr>
                <w:sz w:val="20"/>
                <w:szCs w:val="20"/>
                <w:color w:val="auto"/>
              </w:rPr>
            </w:pPr>
            <w:r>
              <w:rPr>
                <w:rFonts w:ascii="Arial" w:cs="Arial" w:eastAsia="Arial" w:hAnsi="Arial"/>
                <w:sz w:val="18"/>
                <w:szCs w:val="18"/>
                <w:color w:val="auto"/>
                <w:w w:val="92"/>
              </w:rPr>
              <w:t>Title: President and Chief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jc w:val="center"/>
        <w:ind w:right="-339"/>
        <w:spacing w:after="0"/>
        <w:rPr>
          <w:sz w:val="20"/>
          <w:szCs w:val="20"/>
          <w:color w:val="auto"/>
        </w:rPr>
      </w:pPr>
      <w:r>
        <w:rPr>
          <w:rFonts w:ascii="Arial" w:cs="Arial" w:eastAsia="Arial" w:hAnsi="Arial"/>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0920"/>
      </w:cols>
      <w:pgMar w:left="320" w:top="796" w:right="65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2022-11-18T05:13:05Z</dcterms:created>
  <dcterms:modified xsi:type="dcterms:W3CDTF">2022-11-18T05:13:05Z</dcterms:modified>
</cp:coreProperties>
</file>