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 Securities Exchange Act of 1934</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 xml:space="preserve">Date of Report (date of earliest event reported): </w:t>
      </w:r>
      <w:r>
        <w:rPr>
          <w:rFonts w:ascii="Times New Roman" w:cs="Times New Roman" w:eastAsia="Times New Roman" w:hAnsi="Times New Roman"/>
          <w:sz w:val="18"/>
          <w:szCs w:val="18"/>
          <w:b w:val="1"/>
          <w:bCs w:val="1"/>
          <w:color w:val="auto"/>
        </w:rPr>
        <w:t>July 14, 2025</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45"/>
        </w:trPr>
        <w:tc>
          <w:tcPr>
            <w:tcW w:w="38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001-41434</w:t>
            </w:r>
          </w:p>
        </w:tc>
        <w:tc>
          <w:tcPr>
            <w:tcW w:w="200" w:type="dxa"/>
            <w:vAlign w:val="bottom"/>
          </w:tcPr>
          <w:p>
            <w:pPr>
              <w:spacing w:after="0"/>
              <w:rPr>
                <w:sz w:val="21"/>
                <w:szCs w:val="21"/>
                <w:color w:val="auto"/>
              </w:rPr>
            </w:pP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16-1626611</w:t>
            </w:r>
          </w:p>
        </w:tc>
      </w:tr>
      <w:tr>
        <w:trPr>
          <w:trHeight w:val="198"/>
        </w:trPr>
        <w:tc>
          <w:tcPr>
            <w:tcW w:w="362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rPr>
              <w:t>(State or other jurisdiction</w:t>
            </w:r>
          </w:p>
        </w:tc>
        <w:tc>
          <w:tcPr>
            <w:tcW w:w="220" w:type="dxa"/>
            <w:vAlign w:val="bottom"/>
          </w:tcPr>
          <w:p>
            <w:pPr>
              <w:spacing w:after="0"/>
              <w:rPr>
                <w:sz w:val="17"/>
                <w:szCs w:val="17"/>
                <w:color w:val="auto"/>
              </w:rPr>
            </w:pPr>
          </w:p>
        </w:tc>
        <w:tc>
          <w:tcPr>
            <w:tcW w:w="360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w w:val="98"/>
              </w:rPr>
              <w:t>(Commission</w:t>
            </w:r>
          </w:p>
        </w:tc>
        <w:tc>
          <w:tcPr>
            <w:tcW w:w="200" w:type="dxa"/>
            <w:vAlign w:val="bottom"/>
          </w:tcPr>
          <w:p>
            <w:pPr>
              <w:spacing w:after="0"/>
              <w:rPr>
                <w:sz w:val="17"/>
                <w:szCs w:val="17"/>
                <w:color w:val="auto"/>
              </w:rPr>
            </w:pPr>
          </w:p>
        </w:tc>
        <w:tc>
          <w:tcPr>
            <w:tcW w:w="360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rPr>
              <w:t>(IRS Employer</w:t>
            </w:r>
          </w:p>
        </w:tc>
      </w:tr>
      <w:tr>
        <w:trPr>
          <w:trHeight w:val="234"/>
        </w:trPr>
        <w:tc>
          <w:tcPr>
            <w:tcW w:w="38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color w:val="auto"/>
                <w:w w:val="99"/>
              </w:rPr>
              <w:t>of incorporation)</w:t>
            </w:r>
          </w:p>
        </w:tc>
        <w:tc>
          <w:tcPr>
            <w:tcW w:w="38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color w:val="auto"/>
                <w:w w:val="98"/>
              </w:rPr>
              <w:t>File Number)</w:t>
            </w: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Identification No.)</w:t>
            </w:r>
          </w:p>
        </w:tc>
      </w:tr>
    </w:tbl>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3F (Building B), No. 185, Sec. 1, Datong Rd., Xizhi Dist., New Taipei City Taiwan 221,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 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N/A</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207" w:lineRule="exact"/>
        <w:rPr>
          <w:sz w:val="24"/>
          <w:szCs w:val="24"/>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registrant under any of the following provisions:</w:t>
      </w:r>
    </w:p>
    <w:p>
      <w:pPr>
        <w:spacing w:after="0" w:line="162" w:lineRule="exact"/>
        <w:rPr>
          <w:sz w:val="24"/>
          <w:szCs w:val="24"/>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2980" w:firstLine="8"/>
        <w:spacing w:after="0" w:line="498" w:lineRule="auto"/>
        <w:tabs>
          <w:tab w:leader="none" w:pos="207"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 Securities registered pursuant to Section 12(b) of the Act: None</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4220" w:type="dxa"/>
            <w:vAlign w:val="bottom"/>
            <w:tcBorders>
              <w:bottom w:val="single" w:sz="8" w:color="auto"/>
            </w:tcBorders>
          </w:tcPr>
          <w:p>
            <w:pPr>
              <w:jc w:val="center"/>
              <w:ind w:right="410"/>
              <w:spacing w:after="0"/>
              <w:rPr>
                <w:sz w:val="20"/>
                <w:szCs w:val="20"/>
                <w:color w:val="auto"/>
              </w:rPr>
            </w:pPr>
            <w:r>
              <w:rPr>
                <w:rFonts w:ascii="Times New Roman" w:cs="Times New Roman" w:eastAsia="Times New Roman" w:hAnsi="Times New Roman"/>
                <w:sz w:val="18"/>
                <w:szCs w:val="18"/>
                <w:b w:val="1"/>
                <w:bCs w:val="1"/>
                <w:color w:val="auto"/>
              </w:rPr>
              <w:t>Title of each class</w:t>
            </w:r>
          </w:p>
        </w:tc>
        <w:tc>
          <w:tcPr>
            <w:tcW w:w="27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Trading Symbol</w:t>
            </w:r>
          </w:p>
        </w:tc>
        <w:tc>
          <w:tcPr>
            <w:tcW w:w="4260" w:type="dxa"/>
            <w:vAlign w:val="bottom"/>
            <w:tcBorders>
              <w:bottom w:val="single" w:sz="8" w:color="auto"/>
            </w:tcBorders>
          </w:tcPr>
          <w:p>
            <w:pPr>
              <w:jc w:val="center"/>
              <w:ind w:left="470"/>
              <w:spacing w:after="0"/>
              <w:rPr>
                <w:sz w:val="20"/>
                <w:szCs w:val="20"/>
                <w:color w:val="auto"/>
              </w:rPr>
            </w:pPr>
            <w:r>
              <w:rPr>
                <w:rFonts w:ascii="Times New Roman" w:cs="Times New Roman" w:eastAsia="Times New Roman" w:hAnsi="Times New Roman"/>
                <w:sz w:val="18"/>
                <w:szCs w:val="18"/>
                <w:b w:val="1"/>
                <w:bCs w:val="1"/>
                <w:color w:val="auto"/>
                <w:w w:val="99"/>
              </w:rPr>
              <w:t>Name of each exchange on which registered</w:t>
            </w:r>
          </w:p>
        </w:tc>
      </w:tr>
      <w:tr>
        <w:trPr>
          <w:trHeight w:val="228"/>
        </w:trPr>
        <w:tc>
          <w:tcPr>
            <w:tcW w:w="4220" w:type="dxa"/>
            <w:vAlign w:val="bottom"/>
          </w:tcPr>
          <w:p>
            <w:pPr>
              <w:jc w:val="center"/>
              <w:ind w:right="410"/>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276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4260" w:type="dxa"/>
            <w:vAlign w:val="bottom"/>
          </w:tcPr>
          <w:p>
            <w:pPr>
              <w:jc w:val="center"/>
              <w:ind w:left="470"/>
              <w:spacing w:after="0"/>
              <w:rPr>
                <w:sz w:val="20"/>
                <w:szCs w:val="20"/>
                <w:color w:val="auto"/>
              </w:rPr>
            </w:pPr>
            <w:r>
              <w:rPr>
                <w:rFonts w:ascii="Times New Roman" w:cs="Times New Roman" w:eastAsia="Times New Roman" w:hAnsi="Times New Roman"/>
                <w:sz w:val="18"/>
                <w:szCs w:val="18"/>
                <w:color w:val="auto"/>
                <w:w w:val="99"/>
              </w:rPr>
              <w:t>The Nasdaq Stock Market LLC</w:t>
            </w:r>
          </w:p>
        </w:tc>
      </w:tr>
    </w:tbl>
    <w:p>
      <w:pPr>
        <w:spacing w:after="0" w:line="179" w:lineRule="exact"/>
        <w:rPr>
          <w:sz w:val="24"/>
          <w:szCs w:val="24"/>
          <w:color w:val="auto"/>
        </w:rPr>
      </w:pPr>
    </w:p>
    <w:p>
      <w:pPr>
        <w:jc w:val="both"/>
        <w:ind w:right="20"/>
        <w:spacing w:after="0" w:line="258"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ind w:left="9060"/>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23" w:lineRule="exact"/>
        <w:rPr>
          <w:sz w:val="24"/>
          <w:szCs w:val="24"/>
          <w:color w:val="auto"/>
        </w:rPr>
      </w:pPr>
    </w:p>
    <w:p>
      <w:pPr>
        <w:jc w:val="both"/>
        <w:spacing w:after="0" w:line="293"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635000</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225" w:right="339" w:bottom="1440"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7.01 Regulation FD Disclosure.</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On July 16, 2022, Nocera, Inc. (the “Company”) issued a press release announcing that it had regained compliance with Nasdaq Listing Rule 5550(a)(2). A copy of the press release is furnished as Exhibit 99.1 to this Form 8-K.</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8.01. Other Events.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previously disclosed, on January 15, 2025, the Company received a letter from the Listing Qualifications Department (the “Staff”) of The NASDAQ Stock Market, LLC (“Nasdaq”) notifying the Company that the Company was not in compliance with Nasdaq Listing Rule 5550(a)(2) (the “Minimum Bid Price Requirement”), as the minimum bid price for the Company’s listed securities was less than $1 for the previous 30 consecutive business days. The Company had a period of 180 calendar days, or until July 14, 2025, to regain compliance with the rule referred to in this paragraph.</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July 14, 2025, the Company received a letter from Nasdaq notifying the Company that the Staff had determined that the closing bid price of the Company’s common stock had been at $1.00 per share or greater for at least 20 consecutive business days and, accordingly, that the Company had regained compliance with the Minimum Bid Price Requirement for continued listing on the Nasdaq Stock Market and that the matter is now closed. While the Company has regained compliance with the Minimum Bid Price Requirement, there can be no assurance that the Company will be able to maintain compliance with the Minimum Bid Price Requirement in the future.</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9.01 Financial Statements and Exhibits</w:t>
      </w:r>
    </w:p>
    <w:p>
      <w:pPr>
        <w:spacing w:after="0" w:line="229"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880" w:type="dxa"/>
            <w:vAlign w:val="bottom"/>
          </w:tcPr>
          <w:p>
            <w:pPr>
              <w:spacing w:after="0"/>
              <w:rPr>
                <w:sz w:val="20"/>
                <w:szCs w:val="20"/>
                <w:color w:val="auto"/>
              </w:rPr>
            </w:pPr>
            <w:r>
              <w:rPr>
                <w:rFonts w:ascii="Times New Roman" w:cs="Times New Roman" w:eastAsia="Times New Roman" w:hAnsi="Times New Roman"/>
                <w:sz w:val="18"/>
                <w:szCs w:val="18"/>
                <w:color w:val="auto"/>
              </w:rPr>
              <w:t>(d) Exhibits</w:t>
            </w:r>
          </w:p>
        </w:tc>
        <w:tc>
          <w:tcPr>
            <w:tcW w:w="62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3240" w:type="dxa"/>
            <w:vAlign w:val="bottom"/>
          </w:tcPr>
          <w:p>
            <w:pPr>
              <w:spacing w:after="0"/>
              <w:rPr>
                <w:sz w:val="20"/>
                <w:szCs w:val="20"/>
                <w:color w:val="auto"/>
              </w:rPr>
            </w:pPr>
          </w:p>
        </w:tc>
      </w:tr>
      <w:tr>
        <w:trPr>
          <w:trHeight w:val="392"/>
        </w:trPr>
        <w:tc>
          <w:tcPr>
            <w:tcW w:w="8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w w:val="97"/>
              </w:rPr>
              <w:t>Exhibit No.</w:t>
            </w:r>
          </w:p>
        </w:tc>
        <w:tc>
          <w:tcPr>
            <w:tcW w:w="620" w:type="dxa"/>
            <w:vAlign w:val="bottom"/>
          </w:tcPr>
          <w:p>
            <w:pPr>
              <w:spacing w:after="0"/>
              <w:rPr>
                <w:sz w:val="24"/>
                <w:szCs w:val="24"/>
                <w:color w:val="auto"/>
              </w:rPr>
            </w:pPr>
          </w:p>
        </w:tc>
        <w:tc>
          <w:tcPr>
            <w:tcW w:w="9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w w:val="98"/>
              </w:rPr>
              <w:t>Description</w:t>
            </w:r>
          </w:p>
        </w:tc>
        <w:tc>
          <w:tcPr>
            <w:tcW w:w="3240" w:type="dxa"/>
            <w:vAlign w:val="bottom"/>
          </w:tcPr>
          <w:p>
            <w:pPr>
              <w:spacing w:after="0"/>
              <w:rPr>
                <w:sz w:val="24"/>
                <w:szCs w:val="24"/>
                <w:color w:val="auto"/>
              </w:rPr>
            </w:pPr>
          </w:p>
        </w:tc>
      </w:tr>
      <w:tr>
        <w:trPr>
          <w:trHeight w:val="412"/>
        </w:trPr>
        <w:tc>
          <w:tcPr>
            <w:tcW w:w="880" w:type="dxa"/>
            <w:vAlign w:val="bottom"/>
          </w:tcPr>
          <w:p>
            <w:pPr>
              <w:spacing w:after="0"/>
              <w:rPr>
                <w:sz w:val="20"/>
                <w:szCs w:val="20"/>
                <w:color w:val="auto"/>
              </w:rPr>
            </w:pPr>
            <w:r>
              <w:rPr>
                <w:rFonts w:ascii="Times New Roman" w:cs="Times New Roman" w:eastAsia="Times New Roman" w:hAnsi="Times New Roman"/>
                <w:sz w:val="18"/>
                <w:szCs w:val="18"/>
                <w:color w:val="auto"/>
              </w:rPr>
              <w:t>99.1</w:t>
            </w:r>
          </w:p>
        </w:tc>
        <w:tc>
          <w:tcPr>
            <w:tcW w:w="620" w:type="dxa"/>
            <w:vAlign w:val="bottom"/>
          </w:tcPr>
          <w:p>
            <w:pPr>
              <w:spacing w:after="0"/>
              <w:rPr>
                <w:sz w:val="24"/>
                <w:szCs w:val="24"/>
                <w:color w:val="auto"/>
              </w:rPr>
            </w:pPr>
          </w:p>
        </w:tc>
        <w:tc>
          <w:tcPr>
            <w:tcW w:w="4140" w:type="dxa"/>
            <w:vAlign w:val="bottom"/>
            <w:tcBorders>
              <w:bottom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0000EE"/>
                <w:w w:val="99"/>
              </w:rPr>
              <w:t>Press Release issued by Nocera, Inc., dated July 16, 2025</w:t>
            </w:r>
          </w:p>
        </w:tc>
      </w:tr>
    </w:tbl>
    <w:p>
      <w:pPr>
        <w:spacing w:after="0" w:line="9" w:lineRule="exact"/>
        <w:rPr>
          <w:sz w:val="20"/>
          <w:szCs w:val="20"/>
          <w:color w:val="auto"/>
        </w:rPr>
      </w:pPr>
    </w:p>
    <w:p>
      <w:pPr>
        <w:ind w:left="1500" w:hanging="1492"/>
        <w:spacing w:after="0"/>
        <w:tabs>
          <w:tab w:leader="none" w:pos="150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Cover Page Interactive Data File (embedded within the Inline XBRL document)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81" w:lineRule="exact"/>
        <w:rPr>
          <w:rFonts w:ascii="Times New Roman" w:cs="Times New Roman" w:eastAsia="Times New Roman" w:hAnsi="Times New Roman"/>
          <w:sz w:val="18"/>
          <w:szCs w:val="18"/>
          <w:color w:val="auto"/>
        </w:rPr>
      </w:pPr>
    </w:p>
    <w:p>
      <w:pPr>
        <w:ind w:left="55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08" w:right="339" w:bottom="1440" w:gutter="0" w:footer="0" w:header="0"/>
        </w:sectPr>
      </w:pPr>
    </w:p>
    <w:bookmarkStart w:id="2" w:name="page3"/>
    <w:bookmarkEnd w:id="2"/>
    <w:p>
      <w:pPr>
        <w:jc w:val="center"/>
        <w:ind w:right="-319"/>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520" w:type="dxa"/>
            <w:vAlign w:val="bottom"/>
          </w:tcPr>
          <w:p>
            <w:pPr>
              <w:spacing w:after="0"/>
              <w:rPr>
                <w:sz w:val="20"/>
                <w:szCs w:val="20"/>
                <w:color w:val="auto"/>
              </w:rPr>
            </w:pPr>
          </w:p>
        </w:tc>
        <w:tc>
          <w:tcPr>
            <w:tcW w:w="4260" w:type="dxa"/>
            <w:vAlign w:val="bottom"/>
            <w:gridSpan w:val="3"/>
          </w:tcPr>
          <w:p>
            <w:pPr>
              <w:ind w:left="210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608"/>
        </w:trPr>
        <w:tc>
          <w:tcPr>
            <w:tcW w:w="3520" w:type="dxa"/>
            <w:vAlign w:val="bottom"/>
          </w:tcPr>
          <w:p>
            <w:pPr>
              <w:spacing w:after="0"/>
              <w:rPr>
                <w:sz w:val="20"/>
                <w:szCs w:val="20"/>
                <w:color w:val="auto"/>
              </w:rPr>
            </w:pPr>
            <w:r>
              <w:rPr>
                <w:rFonts w:ascii="Times New Roman" w:cs="Times New Roman" w:eastAsia="Times New Roman" w:hAnsi="Times New Roman"/>
                <w:sz w:val="18"/>
                <w:szCs w:val="18"/>
                <w:color w:val="auto"/>
              </w:rPr>
              <w:t>Date: July 16, 2025</w:t>
            </w:r>
          </w:p>
        </w:tc>
        <w:tc>
          <w:tcPr>
            <w:tcW w:w="4260" w:type="dxa"/>
            <w:vAlign w:val="bottom"/>
            <w:gridSpan w:val="3"/>
          </w:tcPr>
          <w:p>
            <w:pPr>
              <w:ind w:left="2100"/>
              <w:spacing w:after="0"/>
              <w:rPr>
                <w:sz w:val="20"/>
                <w:szCs w:val="20"/>
                <w:color w:val="auto"/>
              </w:rPr>
            </w:pPr>
            <w:r>
              <w:rPr>
                <w:rFonts w:ascii="Times New Roman" w:cs="Times New Roman" w:eastAsia="Times New Roman" w:hAnsi="Times New Roman"/>
                <w:sz w:val="18"/>
                <w:szCs w:val="18"/>
                <w:color w:val="auto"/>
              </w:rPr>
              <w:t xml:space="preserve">By: </w:t>
            </w:r>
            <w:r>
              <w:rPr>
                <w:rFonts w:ascii="Times New Roman" w:cs="Times New Roman" w:eastAsia="Times New Roman" w:hAnsi="Times New Roman"/>
                <w:sz w:val="18"/>
                <w:szCs w:val="18"/>
                <w:i w:val="1"/>
                <w:iCs w:val="1"/>
                <w:color w:val="auto"/>
              </w:rPr>
              <w:t>/s/ Andy Ching-An Jin</w:t>
            </w:r>
          </w:p>
        </w:tc>
      </w:tr>
      <w:tr>
        <w:trPr>
          <w:trHeight w:val="20"/>
        </w:trPr>
        <w:tc>
          <w:tcPr>
            <w:tcW w:w="3520" w:type="dxa"/>
            <w:vAlign w:val="bottom"/>
          </w:tcPr>
          <w:p>
            <w:pPr>
              <w:spacing w:after="0" w:line="20" w:lineRule="exact"/>
              <w:rPr>
                <w:sz w:val="1"/>
                <w:szCs w:val="1"/>
                <w:color w:val="auto"/>
              </w:rPr>
            </w:pPr>
          </w:p>
        </w:tc>
        <w:tc>
          <w:tcPr>
            <w:tcW w:w="2400" w:type="dxa"/>
            <w:vAlign w:val="bottom"/>
          </w:tcPr>
          <w:p>
            <w:pPr>
              <w:spacing w:after="0" w:line="20" w:lineRule="exact"/>
              <w:rPr>
                <w:sz w:val="1"/>
                <w:szCs w:val="1"/>
                <w:color w:val="auto"/>
              </w:rPr>
            </w:pPr>
          </w:p>
        </w:tc>
        <w:tc>
          <w:tcPr>
            <w:tcW w:w="1600" w:type="dxa"/>
            <w:vAlign w:val="bottom"/>
            <w:shd w:val="clear" w:color="auto" w:fill="000000"/>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r>
      <w:tr>
        <w:trPr>
          <w:trHeight w:val="218"/>
        </w:trPr>
        <w:tc>
          <w:tcPr>
            <w:tcW w:w="3520" w:type="dxa"/>
            <w:vAlign w:val="bottom"/>
          </w:tcPr>
          <w:p>
            <w:pPr>
              <w:spacing w:after="0"/>
              <w:rPr>
                <w:sz w:val="18"/>
                <w:szCs w:val="18"/>
                <w:color w:val="auto"/>
              </w:rPr>
            </w:pPr>
          </w:p>
        </w:tc>
        <w:tc>
          <w:tcPr>
            <w:tcW w:w="4260" w:type="dxa"/>
            <w:vAlign w:val="bottom"/>
            <w:gridSpan w:val="3"/>
          </w:tcPr>
          <w:p>
            <w:pPr>
              <w:ind w:left="2100"/>
              <w:spacing w:after="0"/>
              <w:rPr>
                <w:sz w:val="20"/>
                <w:szCs w:val="20"/>
                <w:color w:val="auto"/>
              </w:rPr>
            </w:pPr>
            <w:r>
              <w:rPr>
                <w:rFonts w:ascii="Times New Roman" w:cs="Times New Roman" w:eastAsia="Times New Roman" w:hAnsi="Times New Roman"/>
                <w:sz w:val="18"/>
                <w:szCs w:val="18"/>
                <w:color w:val="auto"/>
              </w:rPr>
              <w:t>Name: Andy Ching-An Jin</w:t>
            </w:r>
          </w:p>
        </w:tc>
      </w:tr>
      <w:tr>
        <w:trPr>
          <w:trHeight w:val="234"/>
        </w:trPr>
        <w:tc>
          <w:tcPr>
            <w:tcW w:w="3520" w:type="dxa"/>
            <w:vAlign w:val="bottom"/>
          </w:tcPr>
          <w:p>
            <w:pPr>
              <w:spacing w:after="0"/>
              <w:rPr>
                <w:sz w:val="20"/>
                <w:szCs w:val="20"/>
                <w:color w:val="auto"/>
              </w:rPr>
            </w:pPr>
          </w:p>
        </w:tc>
        <w:tc>
          <w:tcPr>
            <w:tcW w:w="4260" w:type="dxa"/>
            <w:vAlign w:val="bottom"/>
            <w:gridSpan w:val="3"/>
          </w:tcPr>
          <w:p>
            <w:pPr>
              <w:ind w:left="2100"/>
              <w:spacing w:after="0"/>
              <w:rPr>
                <w:sz w:val="20"/>
                <w:szCs w:val="20"/>
                <w:color w:val="auto"/>
              </w:rPr>
            </w:pPr>
            <w:r>
              <w:rPr>
                <w:rFonts w:ascii="Times New Roman" w:cs="Times New Roman" w:eastAsia="Times New Roman" w:hAnsi="Times New Roman"/>
                <w:sz w:val="18"/>
                <w:szCs w:val="18"/>
                <w:color w:val="auto"/>
                <w:w w:val="98"/>
              </w:rPr>
              <w:t>Title: Chief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33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920"/>
          </w:cols>
          <w:pgMar w:left="320" w:top="792" w:right="659" w:bottom="1440"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22"/>
          <w:szCs w:val="22"/>
          <w:b w:val="1"/>
          <w:bCs w:val="1"/>
          <w:color w:val="auto"/>
        </w:rPr>
        <w:t>Exhibit 99.1</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For Immediate Release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2216785</wp:posOffset>
            </wp:positionH>
            <wp:positionV relativeFrom="paragraph">
              <wp:posOffset>19685</wp:posOffset>
            </wp:positionV>
            <wp:extent cx="2717165" cy="651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2717165" cy="6515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Nocera, Inc. Regains Compliance with Nasdaq Minimum Bid Price Deficiency</w:t>
      </w:r>
    </w:p>
    <w:p>
      <w:pPr>
        <w:spacing w:after="0" w:line="215"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TAIPEI, TAIWAN / ACCESSWIRE / July XX, 2025 / </w:t>
      </w:r>
      <w:r>
        <w:rPr>
          <w:rFonts w:ascii="Times New Roman" w:cs="Times New Roman" w:eastAsia="Times New Roman" w:hAnsi="Times New Roman"/>
          <w:sz w:val="18"/>
          <w:szCs w:val="18"/>
          <w:color w:val="auto"/>
        </w:rPr>
        <w:t>Nocera, Inc. (NASDAQ: NCRA) (“Nocera” or the “Company”), an industry-agnostic, acquisition-focused company, today announced that it received a notification letter (the “</w:t>
      </w:r>
      <w:r>
        <w:rPr>
          <w:rFonts w:ascii="Times New Roman" w:cs="Times New Roman" w:eastAsia="Times New Roman" w:hAnsi="Times New Roman"/>
          <w:sz w:val="18"/>
          <w:szCs w:val="18"/>
          <w:b w:val="1"/>
          <w:bCs w:val="1"/>
          <w:color w:val="auto"/>
        </w:rPr>
        <w:t>Notification Letter</w:t>
      </w:r>
      <w:r>
        <w:rPr>
          <w:rFonts w:ascii="Times New Roman" w:cs="Times New Roman" w:eastAsia="Times New Roman" w:hAnsi="Times New Roman"/>
          <w:sz w:val="18"/>
          <w:szCs w:val="18"/>
          <w:color w:val="auto"/>
        </w:rPr>
        <w:t>”) from the Listing Qualifications Department at The Nasdaq Stock Market LLC (“</w:t>
      </w:r>
      <w:r>
        <w:rPr>
          <w:rFonts w:ascii="Times New Roman" w:cs="Times New Roman" w:eastAsia="Times New Roman" w:hAnsi="Times New Roman"/>
          <w:sz w:val="18"/>
          <w:szCs w:val="18"/>
          <w:b w:val="1"/>
          <w:bCs w:val="1"/>
          <w:color w:val="auto"/>
        </w:rPr>
        <w:t>Nasdaq</w:t>
      </w:r>
      <w:r>
        <w:rPr>
          <w:rFonts w:ascii="Times New Roman" w:cs="Times New Roman" w:eastAsia="Times New Roman" w:hAnsi="Times New Roman"/>
          <w:sz w:val="18"/>
          <w:szCs w:val="18"/>
          <w:color w:val="auto"/>
        </w:rPr>
        <w:t>”) notifying the Company that it has regained compliance with the minimum bid price requirement set forth under Nasdaq Listing Rule 5550(a)(2) (the “</w:t>
      </w:r>
      <w:r>
        <w:rPr>
          <w:rFonts w:ascii="Times New Roman" w:cs="Times New Roman" w:eastAsia="Times New Roman" w:hAnsi="Times New Roman"/>
          <w:sz w:val="18"/>
          <w:szCs w:val="18"/>
          <w:b w:val="1"/>
          <w:bCs w:val="1"/>
          <w:color w:val="auto"/>
        </w:rPr>
        <w:t>Minimum Bid Price Requirement</w:t>
      </w:r>
      <w:r>
        <w:rPr>
          <w:rFonts w:ascii="Times New Roman" w:cs="Times New Roman" w:eastAsia="Times New Roman" w:hAnsi="Times New Roman"/>
          <w:sz w:val="18"/>
          <w:szCs w:val="18"/>
          <w:color w:val="auto"/>
        </w:rPr>
        <w:t>”).</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Notification Letter confirmed that the Company demonstrated a closing bid price at or greater than $1.00 for the last twenty consecutive business days, from June 12 through to July 11, 2025, and that the Company has regained compliance with the Minimum Bid Price Requirement. As a result, the listing matter has been closed.</w:t>
      </w:r>
    </w:p>
    <w:p>
      <w:pPr>
        <w:spacing w:after="0" w:line="176"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Andy Jin, CEO of Nocera, stated, “Maintaining our Nasdaq listing is integral to our ongoing commitment to shareholders, as it reinforces our credibility and visibility within the investment community while supporting our long-term value creation efforts. Nasdaq listing also provides a level of transparency that is essential to our growth strategy as an acquisition-focused company.”</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About Nocera, Inc.</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Nocera (NASDAQ: NCRA) is a dynamic, industry-agnostic, acquisition-focused company dedicated to identifying and acquiring businesses that demonstrate strong core values and exceptional business acumen. With a strategic focus on fostering growth and creating long-term value, Nocera seeks to partner with companies that align with its vision for success. To learn more about Nocera and its approach, please visit the company’s official website at www.nocera.company.</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Cautionary Note Regarding Forward-Looking Statements</w:t>
      </w:r>
    </w:p>
    <w:p>
      <w:pPr>
        <w:spacing w:after="0" w:line="22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color w:val="auto"/>
        </w:rPr>
        <w:t>This press release contains forward-looking statements that are inherently subject to risks and uncertainties. Any statements contained in this document that are not historical facts are forward-looking statements as defined in the U.S. Private Securities Litigation Reform Act of 1995. Words such as “anticipate,” “believe,” “estimate,” “expect,” “forecast,” “intend,” “may,” “plan,” “project,” “predict,” “should,” “will” and similar expressions are intended to identify such forward-looking statements. Forward-looking statements are not guarantees of future performance, are based on certain assumptions and are subject to various known and unknown risks and uncertainties. These risks and uncertainties include, but are not limited to, general economic and business conditions, the Company’s ability to execute its growth strategy, maintain compliance with Nasdaq listing standards, and respond to market conditions, competition, changes in methods of marketing, delays in manufacturing or distribution, changes in customer order patterns, changes in customer offering mix, and various other factors beyond the Company’s control. Readers are encouraged to read the risk factors included in our annual reports and quarterly reports we file with the Securities and Exchange Commission. Actual events or results may differ materially from those described in this press release due to any of these factors. Nocera is under no obligation to update or alter its forward-looking statements whether as a result of new information, future events or otherwise, except as required by law.</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Company Contact:</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Hanover International, Inc.</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Jh@hanoverintlinc.com</w:t>
      </w:r>
    </w:p>
    <w:sectPr>
      <w:pgSz w:w="11900" w:h="16838" w:orient="portrait"/>
      <w:cols w:equalWidth="0" w:num="1">
        <w:col w:w="11240"/>
      </w:cols>
      <w:pgMar w:left="320" w:top="108"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643C9869"/>
    <w:multiLevelType w:val="hybridMultilevel"/>
    <w:lvl w:ilvl="0">
      <w:lvlJc w:val="left"/>
      <w:lvlText w:val="☐"/>
      <w:numFmt w:val="bullet"/>
      <w:start w:val="1"/>
    </w:lvl>
  </w:abstractNum>
  <w:abstractNum w:abstractNumId="1">
    <w:nsid w:val="66334873"/>
    <w:multiLevelType w:val="hybridMultilevel"/>
    <w:lvl w:ilvl="0">
      <w:lvlJc w:val="left"/>
      <w:lvlText w:val="%1"/>
      <w:numFmt w:val="decimal"/>
      <w:start w:val="104"/>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2025-07-16T12:59:31Z</dcterms:created>
  <dcterms:modified xsi:type="dcterms:W3CDTF">2025-07-16T12:59:31Z</dcterms:modified>
</cp:coreProperties>
</file>